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jc w:val="center"/>
      </w:pPr>
      <w:r>
        <w:rPr>
          <w:rFonts w:ascii="Times New Roman" w:hAnsi="Times New Roman" w:eastAsia="Times New Roman"/>
          <w:b/>
          <w:sz w:val="26"/>
        </w:rPr>
        <w:t>ЛИЦЕНЗИОННЫЙ ДОГОВОР № ____</w:t>
      </w:r>
    </w:p>
    <w:p>
      <w:pPr>
        <w:spacing w:after="0"/>
        <w:jc w:val="center"/>
      </w:pPr>
      <w:r>
        <w:rPr>
          <w:rFonts w:ascii="Times New Roman" w:hAnsi="Times New Roman" w:eastAsia="Times New Roman"/>
          <w:b/>
          <w:sz w:val="24"/>
        </w:rPr>
        <w:t>на предоставление права использования ПО RSG</w:t>
      </w:r>
    </w:p>
    <w:p>
      <w:pPr>
        <w:spacing w:after="160"/>
        <w:jc w:val="center"/>
      </w:pPr>
      <w:r>
        <w:rPr>
          <w:rFonts w:ascii="Times New Roman" w:hAnsi="Times New Roman" w:eastAsia="Times New Roman"/>
          <w:b/>
          <w:sz w:val="24"/>
        </w:rPr>
        <w:t>по модели подписки</w:t>
      </w:r>
    </w:p>
    <w:p>
      <w:pPr>
        <w:spacing w:after="120" w:line="259" w:lineRule="auto"/>
        <w:jc w:val="center"/>
      </w:pPr>
      <w:r>
        <w:rPr>
          <w:rFonts w:ascii="Times New Roman" w:hAnsi="Times New Roman" w:eastAsia="Times New Roman"/>
          <w:b w:val="0"/>
          <w:i w:val="0"/>
          <w:sz w:val="22"/>
        </w:rPr>
        <w:t>г. ____________________                              «___» ______________ 20__ г.</w:t>
      </w:r>
    </w:p>
    <w:p>
      <w:pPr>
        <w:spacing w:after="120" w:line="259" w:lineRule="auto"/>
        <w:ind w:firstLine="425"/>
      </w:pPr>
      <w:r>
        <w:rPr>
          <w:rFonts w:ascii="Times New Roman" w:hAnsi="Times New Roman" w:eastAsia="Times New Roman"/>
          <w:b w:val="0"/>
          <w:i w:val="0"/>
          <w:sz w:val="22"/>
        </w:rPr>
        <w:t>Гражданин Российской Федерации СИДОРЕНКО РОМАН АНАТОЛЬЕВИЧ, ИНН 263505932702, применяющий специальный налоговый режим «Налог на профессиональный доход», именуемый в дальнейшем «Лицензиар», с одной стороны, и ________________________________________, именуемый в дальнейшем «Лицензиат», с другой стороны, совместно именуемые «Стороны», заключили настоящий договор («Договор») о нижеследующем:</w:t>
      </w:r>
    </w:p>
    <w:p>
      <w:pPr>
        <w:keepNext/>
        <w:spacing w:before="160" w:after="120"/>
        <w:jc w:val="center"/>
      </w:pPr>
      <w:r>
        <w:rPr>
          <w:rFonts w:ascii="Times New Roman" w:hAnsi="Times New Roman" w:eastAsia="Times New Roman"/>
          <w:b/>
          <w:sz w:val="24"/>
        </w:rPr>
        <w:t>1. Термины и толкование</w:t>
      </w:r>
    </w:p>
    <w:p>
      <w:pPr>
        <w:spacing w:after="120" w:line="259" w:lineRule="auto"/>
        <w:ind w:firstLine="425"/>
      </w:pPr>
      <w:r>
        <w:rPr>
          <w:rFonts w:ascii="Times New Roman" w:hAnsi="Times New Roman" w:eastAsia="Times New Roman"/>
          <w:b w:val="0"/>
          <w:i w:val="0"/>
          <w:sz w:val="22"/>
        </w:rPr>
        <w:t>1.1. «Программа» или «ПО» — RSG (Revit Server Guard / RSG Admin Panel), административный модуль для Revit Server 2021/2022/2023/2024/2025/2026/2027, предназначенный для централизованного управления доступом, ролями, разделами, аудитом, резервным копированием и proxy-контуром Revit Server, включая исполняемые файлы, объектный код, интерфейс администратора, серверные компоненты, proxy-модули, документацию, лицензионные ключи, конфигурационные файлы и иные материалы, передаваемые Лицензиату. Исходный код, архитектурные материалы разработки, внутренние инструменты сборки, закрытые методики и иные непереданные материалы в предмет лицензии не входят.</w:t>
      </w:r>
    </w:p>
    <w:p>
      <w:pPr>
        <w:spacing w:after="120" w:line="259" w:lineRule="auto"/>
        <w:ind w:firstLine="425"/>
      </w:pPr>
      <w:r>
        <w:rPr>
          <w:rFonts w:ascii="Times New Roman" w:hAnsi="Times New Roman" w:eastAsia="Times New Roman"/>
          <w:b w:val="0"/>
          <w:i w:val="0"/>
          <w:sz w:val="22"/>
        </w:rPr>
        <w:t>1.2. «Лицензия» — простая (неисключительная), непередаваемая, ограниченная по параметрам настоящего Договора лицензия на использование Программы без перехода исключительного права к Лицензиату.</w:t>
      </w:r>
    </w:p>
    <w:p>
      <w:pPr>
        <w:spacing w:after="120" w:line="259" w:lineRule="auto"/>
        <w:ind w:firstLine="425"/>
      </w:pPr>
      <w:r>
        <w:rPr>
          <w:rFonts w:ascii="Times New Roman" w:hAnsi="Times New Roman" w:eastAsia="Times New Roman"/>
          <w:b w:val="0"/>
          <w:i w:val="0"/>
          <w:sz w:val="22"/>
        </w:rPr>
        <w:t>1.3. «Лицензионные параметры» — срок, версия/редакция, количество серверов, пользователей, страновых контуров, экземпляров Revit Server, перечень покрываемых версий Revit Server, тип среды и иные ограничения, указанные в Приложении № 1, счете, спецификации, лицензионном ключе или личном кабинете.</w:t>
      </w:r>
    </w:p>
    <w:p>
      <w:pPr>
        <w:spacing w:after="120" w:line="259" w:lineRule="auto"/>
        <w:ind w:firstLine="425"/>
      </w:pPr>
      <w:r>
        <w:rPr>
          <w:rFonts w:ascii="Times New Roman" w:hAnsi="Times New Roman" w:eastAsia="Times New Roman"/>
          <w:b w:val="0"/>
          <w:i w:val="0"/>
          <w:sz w:val="22"/>
        </w:rPr>
        <w:t>1.4. «Авторизованный пользователь» — сотрудник, подрядчик или администратор Лицензиата, которому Лицензиат разрешил доступ к Программе в пределах Лицензионных параметров и за действия которого Лицензиат отвечает как за свои собственные.</w:t>
      </w:r>
    </w:p>
    <w:p>
      <w:pPr>
        <w:spacing w:after="120" w:line="259" w:lineRule="auto"/>
        <w:ind w:firstLine="425"/>
      </w:pPr>
      <w:r>
        <w:rPr>
          <w:rFonts w:ascii="Times New Roman" w:hAnsi="Times New Roman" w:eastAsia="Times New Roman"/>
          <w:b w:val="0"/>
          <w:i w:val="0"/>
          <w:sz w:val="22"/>
        </w:rPr>
        <w:t>1.5. «Документация» — руководство пользователя, инструкции по установке, технические требования, справочные материалы, опубликованные Лицензиаром или переданные Лицензиату вместе с Программой.</w:t>
      </w:r>
    </w:p>
    <w:p>
      <w:pPr>
        <w:spacing w:after="120" w:line="259" w:lineRule="auto"/>
        <w:ind w:firstLine="425"/>
      </w:pPr>
      <w:r>
        <w:rPr>
          <w:rFonts w:ascii="Times New Roman" w:hAnsi="Times New Roman" w:eastAsia="Times New Roman"/>
          <w:b w:val="0"/>
          <w:i w:val="0"/>
          <w:sz w:val="22"/>
        </w:rPr>
        <w:t>1.6. «Обновление» — исправление, патч, новая сборка или новая версия Программы, которую Лицензиар может передать Лицензиату. Передача Обновлений не означает расширение Лицензионных параметров, если это прямо не указано.</w:t>
      </w:r>
    </w:p>
    <w:p>
      <w:pPr>
        <w:spacing w:after="120" w:line="259" w:lineRule="auto"/>
        <w:ind w:firstLine="425"/>
      </w:pPr>
      <w:r>
        <w:rPr>
          <w:rFonts w:ascii="Times New Roman" w:hAnsi="Times New Roman" w:eastAsia="Times New Roman"/>
          <w:b w:val="0"/>
          <w:i w:val="0"/>
          <w:sz w:val="22"/>
        </w:rPr>
        <w:t>1.7. Коммерческие слова «покупка», «вечная покупка», «подписка», «продажа лицензии» в переписке, счете, на сайте или в маркетинговых материалах толкуются только как предоставление простой неисключительной лицензии. Они не означают отчуждение исключительного права, продажу исходного кода или передачу прав на самостоятельное распространение Программы.</w:t>
      </w:r>
    </w:p>
    <w:p>
      <w:pPr>
        <w:keepNext/>
        <w:spacing w:before="160" w:after="120"/>
        <w:jc w:val="center"/>
      </w:pPr>
      <w:r>
        <w:rPr>
          <w:rFonts w:ascii="Times New Roman" w:hAnsi="Times New Roman" w:eastAsia="Times New Roman"/>
          <w:b/>
          <w:sz w:val="24"/>
        </w:rPr>
        <w:t>2. Предмет Договора</w:t>
      </w:r>
    </w:p>
    <w:p>
      <w:pPr>
        <w:spacing w:after="120" w:line="259" w:lineRule="auto"/>
        <w:ind w:firstLine="425"/>
      </w:pPr>
      <w:r>
        <w:rPr>
          <w:rFonts w:ascii="Times New Roman" w:hAnsi="Times New Roman" w:eastAsia="Times New Roman"/>
          <w:b w:val="0"/>
          <w:i w:val="0"/>
          <w:sz w:val="22"/>
        </w:rPr>
        <w:t>2.1. Лицензиар предоставляет Лицензиату за вознаграждение временное право использования Программы по модели подписки на условиях простой (неисключительной) лицензии в пределах Лицензионных параметров, а Лицензиат обязуется оплатить подписку и соблюдать ограничения настоящего Договора.</w:t>
      </w:r>
    </w:p>
    <w:p>
      <w:pPr>
        <w:spacing w:after="120" w:line="259" w:lineRule="auto"/>
        <w:ind w:firstLine="425"/>
      </w:pPr>
      <w:r>
        <w:rPr>
          <w:rFonts w:ascii="Times New Roman" w:hAnsi="Times New Roman" w:eastAsia="Times New Roman"/>
          <w:b w:val="0"/>
          <w:i w:val="0"/>
          <w:sz w:val="22"/>
        </w:rPr>
        <w:t>2.2. Право использования действует только в течение оплаченного периода подписки. По окончании оплаченного периода, при неоплате продления, при прекращении Договора либо при блокировке лицензии по основаниям Договора Лицензиат обязан немедленно прекратить использование Программы.</w:t>
      </w:r>
    </w:p>
    <w:p>
      <w:pPr>
        <w:spacing w:after="120" w:line="259" w:lineRule="auto"/>
        <w:ind w:firstLine="425"/>
      </w:pPr>
      <w:r>
        <w:rPr>
          <w:rFonts w:ascii="Times New Roman" w:hAnsi="Times New Roman" w:eastAsia="Times New Roman"/>
          <w:b w:val="0"/>
          <w:i w:val="0"/>
          <w:sz w:val="22"/>
        </w:rPr>
        <w:t>2.3. Исключительное право на Программу, исходные коды, структуру баз данных, интерфейсные решения, документацию, изображения, наименования, логотипы и иные результаты интеллектуальной деятельности сохраняется за Лицензиаром и/или соответствующими правообладателями. Лицензиату передаются только те права, которые прямо названы в Договоре.</w:t>
      </w:r>
    </w:p>
    <w:p>
      <w:pPr>
        <w:spacing w:after="120" w:line="259" w:lineRule="auto"/>
        <w:ind w:firstLine="425"/>
      </w:pPr>
      <w:r>
        <w:rPr>
          <w:rFonts w:ascii="Times New Roman" w:hAnsi="Times New Roman" w:eastAsia="Times New Roman"/>
          <w:b w:val="0"/>
          <w:i w:val="0"/>
          <w:sz w:val="22"/>
        </w:rPr>
        <w:t>2.4. Лицензиар не продает товар в вещно-правовом смысле, не передает исключительные права, не выполняет работы по созданию индивидуального программного обеспечения и не оказывает услуги администрирования Revit Server, если иное прямо не оформлено отдельным договором или дополнительным соглашением.</w:t>
      </w:r>
    </w:p>
    <w:p>
      <w:pPr>
        <w:spacing w:after="120" w:line="259" w:lineRule="auto"/>
        <w:ind w:firstLine="425"/>
      </w:pPr>
      <w:r>
        <w:rPr>
          <w:rFonts w:ascii="Times New Roman" w:hAnsi="Times New Roman" w:eastAsia="Times New Roman"/>
          <w:b w:val="0"/>
          <w:i w:val="0"/>
          <w:sz w:val="22"/>
        </w:rPr>
        <w:t>2.5. Программа предназначена для профессионального использования в инфраструктуре Лицензиата. Лицензиат самостоятельно оценивает применимость Программы, достаточность ее функционала, совместимость с инфраструктурой, внутренними регламентами и требованиями заказчиков Лицензиата.</w:t>
      </w:r>
    </w:p>
    <w:p>
      <w:pPr>
        <w:keepNext/>
        <w:spacing w:before="160" w:after="120"/>
        <w:jc w:val="center"/>
      </w:pPr>
      <w:r>
        <w:rPr>
          <w:rFonts w:ascii="Times New Roman" w:hAnsi="Times New Roman" w:eastAsia="Times New Roman"/>
          <w:b/>
          <w:sz w:val="24"/>
        </w:rPr>
        <w:t>3. Разрешенные способы использования</w:t>
      </w:r>
    </w:p>
    <w:p>
      <w:pPr>
        <w:spacing w:after="120" w:line="259" w:lineRule="auto"/>
        <w:ind w:firstLine="425"/>
      </w:pPr>
      <w:r>
        <w:rPr>
          <w:rFonts w:ascii="Times New Roman" w:hAnsi="Times New Roman" w:eastAsia="Times New Roman"/>
          <w:b w:val="0"/>
          <w:i w:val="0"/>
          <w:sz w:val="22"/>
        </w:rPr>
        <w:t>3.1. Лицензиату разрешается только следующее использование Программы:</w:t>
      </w:r>
    </w:p>
    <w:p>
      <w:pPr>
        <w:pStyle w:val="ListBullet"/>
        <w:spacing w:after="60"/>
        <w:ind w:left="567" w:hanging="142"/>
      </w:pPr>
      <w:r>
        <w:rPr>
          <w:rFonts w:ascii="Times New Roman" w:hAnsi="Times New Roman" w:eastAsia="Times New Roman"/>
          <w:sz w:val="22"/>
        </w:rPr>
        <w:t>установить, запускать и использовать Программу в объектном коде на серверах и рабочих местах, указанных в Лицензионных параметрах;</w:t>
      </w:r>
    </w:p>
    <w:p>
      <w:pPr>
        <w:pStyle w:val="ListBullet"/>
        <w:spacing w:after="60"/>
        <w:ind w:left="567" w:hanging="142"/>
      </w:pPr>
      <w:r>
        <w:rPr>
          <w:rFonts w:ascii="Times New Roman" w:hAnsi="Times New Roman" w:eastAsia="Times New Roman"/>
          <w:sz w:val="22"/>
        </w:rPr>
        <w:t>использовать Программу для администрирования собственных проектов Revit Server Лицензиата либо проектов, администрирование которых законно поручено Лицензиату;</w:t>
      </w:r>
    </w:p>
    <w:p>
      <w:pPr>
        <w:pStyle w:val="ListBullet"/>
        <w:spacing w:after="60"/>
        <w:ind w:left="567" w:hanging="142"/>
      </w:pPr>
      <w:r>
        <w:rPr>
          <w:rFonts w:ascii="Times New Roman" w:hAnsi="Times New Roman" w:eastAsia="Times New Roman"/>
          <w:sz w:val="22"/>
        </w:rPr>
        <w:t>предоставлять доступ Авторизованным пользователям в пределах оплаченного количества пользователей/администраторов и иных ограничений;</w:t>
      </w:r>
    </w:p>
    <w:p>
      <w:pPr>
        <w:pStyle w:val="ListBullet"/>
        <w:spacing w:after="60"/>
        <w:ind w:left="567" w:hanging="142"/>
      </w:pPr>
      <w:r>
        <w:rPr>
          <w:rFonts w:ascii="Times New Roman" w:hAnsi="Times New Roman" w:eastAsia="Times New Roman"/>
          <w:sz w:val="22"/>
        </w:rPr>
        <w:t>создать одну резервную копию дистрибутива и конфигурации исключительно для архивных целей и восстановления правомерно установленной копии;</w:t>
      </w:r>
    </w:p>
    <w:p>
      <w:pPr>
        <w:pStyle w:val="ListBullet"/>
        <w:spacing w:after="60"/>
        <w:ind w:left="567" w:hanging="142"/>
      </w:pPr>
      <w:r>
        <w:rPr>
          <w:rFonts w:ascii="Times New Roman" w:hAnsi="Times New Roman" w:eastAsia="Times New Roman"/>
          <w:sz w:val="22"/>
        </w:rPr>
        <w:t>использовать Документацию в объеме, необходимом для установки, настройки и эксплуатации Программы;</w:t>
      </w:r>
    </w:p>
    <w:p>
      <w:pPr>
        <w:pStyle w:val="ListBullet"/>
        <w:spacing w:after="60"/>
        <w:ind w:left="567" w:hanging="142"/>
      </w:pPr>
      <w:r>
        <w:rPr>
          <w:rFonts w:ascii="Times New Roman" w:hAnsi="Times New Roman" w:eastAsia="Times New Roman"/>
          <w:sz w:val="22"/>
        </w:rPr>
        <w:t>получать и устанавливать Обновления только в пределах условий, применимых к выбранной модели лицензии и оплаченной редакции.</w:t>
      </w:r>
    </w:p>
    <w:p>
      <w:pPr>
        <w:spacing w:after="120" w:line="259" w:lineRule="auto"/>
        <w:ind w:firstLine="425"/>
      </w:pPr>
      <w:r>
        <w:rPr>
          <w:rFonts w:ascii="Times New Roman" w:hAnsi="Times New Roman" w:eastAsia="Times New Roman"/>
          <w:b w:val="0"/>
          <w:i w:val="0"/>
          <w:sz w:val="22"/>
        </w:rPr>
        <w:t>3.2. Любой способ использования, прямо не разрешенный настоящим Договором, считается запрещенным. Отсутствие технической блокировки не является согласием Лицензиара на расширение лицензии.</w:t>
      </w:r>
    </w:p>
    <w:p>
      <w:pPr>
        <w:spacing w:after="120" w:line="259" w:lineRule="auto"/>
        <w:ind w:firstLine="425"/>
      </w:pPr>
      <w:r>
        <w:rPr>
          <w:rFonts w:ascii="Times New Roman" w:hAnsi="Times New Roman" w:eastAsia="Times New Roman"/>
          <w:b w:val="0"/>
          <w:i w:val="0"/>
          <w:sz w:val="22"/>
        </w:rPr>
        <w:t>3.3. Территория использования: Российская Федерация и иные территории, где использование Программы Лицензиатом не нарушает применимое право, права третьих лиц, экспортные, санкционные, отраслевые и локальные ограничения. Правом Договора является право Российской Федерации.</w:t>
      </w:r>
    </w:p>
    <w:p>
      <w:pPr>
        <w:keepNext/>
        <w:spacing w:before="160" w:after="120"/>
        <w:jc w:val="center"/>
      </w:pPr>
      <w:r>
        <w:rPr>
          <w:rFonts w:ascii="Times New Roman" w:hAnsi="Times New Roman" w:eastAsia="Times New Roman"/>
          <w:b/>
          <w:sz w:val="24"/>
        </w:rPr>
        <w:t>4. Ограничения и запреты</w:t>
      </w:r>
    </w:p>
    <w:p>
      <w:pPr>
        <w:spacing w:after="120" w:line="259" w:lineRule="auto"/>
        <w:ind w:firstLine="425"/>
      </w:pPr>
      <w:r>
        <w:rPr>
          <w:rFonts w:ascii="Times New Roman" w:hAnsi="Times New Roman" w:eastAsia="Times New Roman"/>
          <w:b w:val="0"/>
          <w:i w:val="0"/>
          <w:sz w:val="22"/>
        </w:rPr>
        <w:t>4.1. Лицензиату запрещается:</w:t>
      </w:r>
    </w:p>
    <w:p>
      <w:pPr>
        <w:pStyle w:val="ListBullet"/>
        <w:spacing w:after="60"/>
        <w:ind w:left="567" w:hanging="142"/>
      </w:pPr>
      <w:r>
        <w:rPr>
          <w:rFonts w:ascii="Times New Roman" w:hAnsi="Times New Roman" w:eastAsia="Times New Roman"/>
          <w:sz w:val="22"/>
        </w:rPr>
        <w:t>копировать, распространять, продавать, сдавать в аренду, предоставлять во временное пользование, передавать, публиковать, размещать в открытом доступе Программу, лицензионные ключи, дистрибутивы или документацию, кроме прямо разрешенной резервной копии;</w:t>
      </w:r>
    </w:p>
    <w:p>
      <w:pPr>
        <w:pStyle w:val="ListBullet"/>
        <w:spacing w:after="60"/>
        <w:ind w:left="567" w:hanging="142"/>
      </w:pPr>
      <w:r>
        <w:rPr>
          <w:rFonts w:ascii="Times New Roman" w:hAnsi="Times New Roman" w:eastAsia="Times New Roman"/>
          <w:sz w:val="22"/>
        </w:rPr>
        <w:t>предоставлять доступ к Программе третьим лицам, аффилированным компаниям, подрядчикам или заказчикам вне Лицензионных параметров и без письменного согласия Лицензиара;</w:t>
      </w:r>
    </w:p>
    <w:p>
      <w:pPr>
        <w:pStyle w:val="ListBullet"/>
        <w:spacing w:after="60"/>
        <w:ind w:left="567" w:hanging="142"/>
      </w:pPr>
      <w:r>
        <w:rPr>
          <w:rFonts w:ascii="Times New Roman" w:hAnsi="Times New Roman" w:eastAsia="Times New Roman"/>
          <w:sz w:val="22"/>
        </w:rPr>
        <w:t>использовать Программу как SaaS, сервис-бюро, хостинг, управляемый сервис для третьих лиц, коммерческий центр обработки проектов или иной сервис многопользовательского доступа для внешних клиентов, если такая модель не указана в Лицензионных параметрах;</w:t>
      </w:r>
    </w:p>
    <w:p>
      <w:pPr>
        <w:pStyle w:val="ListBullet"/>
        <w:spacing w:after="60"/>
        <w:ind w:left="567" w:hanging="142"/>
      </w:pPr>
      <w:r>
        <w:rPr>
          <w:rFonts w:ascii="Times New Roman" w:hAnsi="Times New Roman" w:eastAsia="Times New Roman"/>
          <w:sz w:val="22"/>
        </w:rPr>
        <w:t>модифицировать, переводить, адаптировать, декомпилировать, дизассемблировать, исследовать алгоритмы, обходить технические средства защиты, извлекать исходный код или создавать производные продукты, кроме случаев и в пределах, прямо допускаемых императивными нормами закона;</w:t>
      </w:r>
    </w:p>
    <w:p>
      <w:pPr>
        <w:pStyle w:val="ListBullet"/>
        <w:spacing w:after="60"/>
        <w:ind w:left="567" w:hanging="142"/>
      </w:pPr>
      <w:r>
        <w:rPr>
          <w:rFonts w:ascii="Times New Roman" w:hAnsi="Times New Roman" w:eastAsia="Times New Roman"/>
          <w:sz w:val="22"/>
        </w:rPr>
        <w:t>удалять обозначения авторства, знаки охраны, номера сборок, сведения о лицензии, предупреждения о правах или элементы идентификации Лицензиара;</w:t>
      </w:r>
    </w:p>
    <w:p>
      <w:pPr>
        <w:pStyle w:val="ListBullet"/>
        <w:spacing w:after="60"/>
        <w:ind w:left="567" w:hanging="142"/>
      </w:pPr>
      <w:r>
        <w:rPr>
          <w:rFonts w:ascii="Times New Roman" w:hAnsi="Times New Roman" w:eastAsia="Times New Roman"/>
          <w:sz w:val="22"/>
        </w:rPr>
        <w:t>обходить лицензионные ограничения, менять системное время, подменять аппаратные идентификаторы, блокировать проверку лицензии, использовать чужой ключ, использовать скомпрометированный ключ либо запускать Программу после прекращения лицензии;</w:t>
      </w:r>
    </w:p>
    <w:p>
      <w:pPr>
        <w:pStyle w:val="ListBullet"/>
        <w:spacing w:after="60"/>
        <w:ind w:left="567" w:hanging="142"/>
      </w:pPr>
      <w:r>
        <w:rPr>
          <w:rFonts w:ascii="Times New Roman" w:hAnsi="Times New Roman" w:eastAsia="Times New Roman"/>
          <w:sz w:val="22"/>
        </w:rPr>
        <w:t>использовать Программу для противоправных действий, несанкционированного доступа, нарушения прав третьих лиц, обхода политик безопасности или эксплуатации инфраструктуры без законных полномочий;</w:t>
      </w:r>
    </w:p>
    <w:p>
      <w:pPr>
        <w:pStyle w:val="ListBullet"/>
        <w:spacing w:after="60"/>
        <w:ind w:left="567" w:hanging="142"/>
      </w:pPr>
      <w:r>
        <w:rPr>
          <w:rFonts w:ascii="Times New Roman" w:hAnsi="Times New Roman" w:eastAsia="Times New Roman"/>
          <w:sz w:val="22"/>
        </w:rPr>
        <w:t>публиковать результаты нагрузочных тестов, сравнительных тестов, сведения об уязвимостях, внутренней архитектуре или способах обхода защиты без предварительного письменного согласия Лицензиара, кроме случаев обязательного раскрытия по закону;</w:t>
      </w:r>
    </w:p>
    <w:p>
      <w:pPr>
        <w:pStyle w:val="ListBullet"/>
        <w:spacing w:after="60"/>
        <w:ind w:left="567" w:hanging="142"/>
      </w:pPr>
      <w:r>
        <w:rPr>
          <w:rFonts w:ascii="Times New Roman" w:hAnsi="Times New Roman" w:eastAsia="Times New Roman"/>
          <w:sz w:val="22"/>
        </w:rPr>
        <w:t>использовать Программу в системах, где отказ может повлечь угрозу жизни, здоровью, объектам повышенной опасности, критической инфраструктуре или крупный имущественный ущерб, без отдельного письменного соглашения о специальном режиме эксплуатации.</w:t>
      </w:r>
    </w:p>
    <w:p>
      <w:pPr>
        <w:spacing w:after="120" w:line="259" w:lineRule="auto"/>
        <w:ind w:firstLine="425"/>
      </w:pPr>
      <w:r>
        <w:rPr>
          <w:rFonts w:ascii="Times New Roman" w:hAnsi="Times New Roman" w:eastAsia="Times New Roman"/>
          <w:b w:val="0"/>
          <w:i w:val="0"/>
          <w:sz w:val="22"/>
        </w:rPr>
        <w:t>4.2. Нарушение любого ограничения из настоящего раздела признается существенным нарушением Договора и дает Лицензиару право немедленно приостановить действие лицензии, заблокировать ключ, потребовать прекращения нарушения, возмещения убытков, выплаты неустойки и расторжения Договора.</w:t>
      </w:r>
    </w:p>
    <w:p>
      <w:pPr>
        <w:keepNext/>
        <w:spacing w:before="160" w:after="120"/>
        <w:jc w:val="center"/>
      </w:pPr>
      <w:r>
        <w:rPr>
          <w:rFonts w:ascii="Times New Roman" w:hAnsi="Times New Roman" w:eastAsia="Times New Roman"/>
          <w:b/>
          <w:sz w:val="24"/>
        </w:rPr>
        <w:t>5. Лицензионные ключи, активация и контроль использования</w:t>
      </w:r>
    </w:p>
    <w:p>
      <w:pPr>
        <w:spacing w:after="120" w:line="259" w:lineRule="auto"/>
        <w:ind w:firstLine="425"/>
      </w:pPr>
      <w:r>
        <w:rPr>
          <w:rFonts w:ascii="Times New Roman" w:hAnsi="Times New Roman" w:eastAsia="Times New Roman"/>
          <w:b w:val="0"/>
          <w:i w:val="0"/>
          <w:sz w:val="22"/>
        </w:rPr>
        <w:t>5.1. Доступ к Программе может предоставляться через лицензионный ключ, файл лицензии, аппаратную/программную привязку, личный кабинет, электронную почту, иной технический способ либо их сочетание.</w:t>
      </w:r>
    </w:p>
    <w:p>
      <w:pPr>
        <w:spacing w:after="120" w:line="259" w:lineRule="auto"/>
        <w:ind w:firstLine="425"/>
      </w:pPr>
      <w:r>
        <w:rPr>
          <w:rFonts w:ascii="Times New Roman" w:hAnsi="Times New Roman" w:eastAsia="Times New Roman"/>
          <w:b w:val="0"/>
          <w:i w:val="0"/>
          <w:sz w:val="22"/>
        </w:rPr>
        <w:t>5.2. Лицензиар вправе применять технические средства контроля: проверку срока, количества пользователей, серверов, редакции, версий Revit Server, аппаратного идентификатора, IP/машины, признаков обхода защиты, целостности ключа и иных параметров, необходимых для исполнения Договора.</w:t>
      </w:r>
    </w:p>
    <w:p>
      <w:pPr>
        <w:spacing w:after="120" w:line="259" w:lineRule="auto"/>
        <w:ind w:firstLine="425"/>
      </w:pPr>
      <w:r>
        <w:rPr>
          <w:rFonts w:ascii="Times New Roman" w:hAnsi="Times New Roman" w:eastAsia="Times New Roman"/>
          <w:b w:val="0"/>
          <w:i w:val="0"/>
          <w:sz w:val="22"/>
        </w:rPr>
        <w:t>5.3. Лицензиат обязан обеспечивать конфиденциальность ключей, учетных записей, ссылок на скачивание и материалов доступа. Все действия, совершенные с использованием ключей или учетных записей Лицензиата, считаются действиями Лицензиата, пока Лицензиат не докажет обратное и своевременно не уведомит Лицензиара о компрометации.</w:t>
      </w:r>
    </w:p>
    <w:p>
      <w:pPr>
        <w:spacing w:after="120" w:line="259" w:lineRule="auto"/>
        <w:ind w:firstLine="425"/>
      </w:pPr>
      <w:r>
        <w:rPr>
          <w:rFonts w:ascii="Times New Roman" w:hAnsi="Times New Roman" w:eastAsia="Times New Roman"/>
          <w:b w:val="0"/>
          <w:i w:val="0"/>
          <w:sz w:val="22"/>
        </w:rPr>
        <w:t>5.4. Лицензиар вправе приостановить или ограничить действие лицензии без возмещения убытков, если имеются признаки несанкционированного доступа, превышения Лицензионных параметров, неоплаты, нарушения ограничений, атаки на лицензионный механизм, распространения ключа или угрозы безопасности.</w:t>
      </w:r>
    </w:p>
    <w:p>
      <w:pPr>
        <w:spacing w:after="120" w:line="259" w:lineRule="auto"/>
        <w:ind w:firstLine="425"/>
      </w:pPr>
      <w:r>
        <w:rPr>
          <w:rFonts w:ascii="Times New Roman" w:hAnsi="Times New Roman" w:eastAsia="Times New Roman"/>
          <w:b w:val="0"/>
          <w:i w:val="0"/>
          <w:sz w:val="22"/>
        </w:rPr>
        <w:t>5.5. Перевыпуск ключа при замене сервера, утрате доступа, миграции инфраструктуры или ошибке Лицензиата осуществляется по решению Лицензиара. Лицензиар вправе отказать в перевыпуске при признаках злоупотребления, нарушении Договора либо отсутствии подтверждающих документов.</w:t>
      </w:r>
    </w:p>
    <w:p>
      <w:pPr>
        <w:keepNext/>
        <w:spacing w:before="160" w:after="120"/>
        <w:jc w:val="center"/>
      </w:pPr>
      <w:r>
        <w:rPr>
          <w:rFonts w:ascii="Times New Roman" w:hAnsi="Times New Roman" w:eastAsia="Times New Roman"/>
          <w:b/>
          <w:sz w:val="24"/>
        </w:rPr>
        <w:t>6. Передача прав, приемка и отсутствие отдельного акта</w:t>
      </w:r>
    </w:p>
    <w:p>
      <w:pPr>
        <w:spacing w:after="120" w:line="259" w:lineRule="auto"/>
        <w:ind w:firstLine="425"/>
      </w:pPr>
      <w:r>
        <w:rPr>
          <w:rFonts w:ascii="Times New Roman" w:hAnsi="Times New Roman" w:eastAsia="Times New Roman"/>
          <w:b w:val="0"/>
          <w:i w:val="0"/>
          <w:sz w:val="22"/>
        </w:rPr>
        <w:t>6.1. Право использования считается предоставленным в момент наступления первого из событий: направление Лицензиату лицензионного ключа, файла лицензии, ссылки на дистрибутив, доступа к личному кабинету, установочного пакета, активации лицензии либо иного сообщения, позволяющего начать использование Программы.</w:t>
      </w:r>
    </w:p>
    <w:p>
      <w:pPr>
        <w:spacing w:after="120" w:line="259" w:lineRule="auto"/>
        <w:ind w:firstLine="425"/>
      </w:pPr>
      <w:r>
        <w:rPr>
          <w:rFonts w:ascii="Times New Roman" w:hAnsi="Times New Roman" w:eastAsia="Times New Roman"/>
          <w:b w:val="0"/>
          <w:i w:val="0"/>
          <w:sz w:val="22"/>
        </w:rPr>
        <w:t>6.2. Если Лицензиат в течение 5 (пяти) рабочих дней с момента предоставления доступа не направил мотивированные письменные возражения о невозможности получить или активировать лицензию, право использования считается предоставленным надлежащим образом и принятым Лицензиатом без замечаний.</w:t>
      </w:r>
    </w:p>
    <w:p>
      <w:pPr>
        <w:spacing w:after="120" w:line="259" w:lineRule="auto"/>
        <w:ind w:firstLine="425"/>
      </w:pPr>
      <w:r>
        <w:rPr>
          <w:rFonts w:ascii="Times New Roman" w:hAnsi="Times New Roman" w:eastAsia="Times New Roman"/>
          <w:b w:val="0"/>
          <w:i w:val="0"/>
          <w:sz w:val="22"/>
        </w:rPr>
        <w:t>6.3. По требованию Лицензиата Лицензиар может оформить акт предоставления права использования либо иной закрывающий документ по форме Приложения № 2. Отсутствие подписанного акта не отменяет факт предоставления лицензии, если доступ был предоставлен по п. 6.1 Договора.</w:t>
      </w:r>
    </w:p>
    <w:p>
      <w:pPr>
        <w:spacing w:after="120" w:line="259" w:lineRule="auto"/>
        <w:ind w:firstLine="425"/>
      </w:pPr>
      <w:r>
        <w:rPr>
          <w:rFonts w:ascii="Times New Roman" w:hAnsi="Times New Roman" w:eastAsia="Times New Roman"/>
          <w:b w:val="0"/>
          <w:i w:val="0"/>
          <w:sz w:val="22"/>
        </w:rPr>
        <w:t>6.4. Электронные сообщения, сканы, документы через ЭДО, счета, чеки, ключи, журналы активации, переписка с доменов/адресов сторон и записи лицензионного механизма признаются допустимыми доказательствами предоставления прав и исполнения Договора.</w:t>
      </w:r>
    </w:p>
    <w:p>
      <w:pPr>
        <w:keepNext/>
        <w:spacing w:before="160" w:after="120"/>
        <w:jc w:val="center"/>
      </w:pPr>
      <w:r>
        <w:rPr>
          <w:rFonts w:ascii="Times New Roman" w:hAnsi="Times New Roman" w:eastAsia="Times New Roman"/>
          <w:b/>
          <w:sz w:val="24"/>
        </w:rPr>
        <w:t>7. Вознаграждение, порядок расчетов и налоговый статус Лицензиара</w:t>
      </w:r>
    </w:p>
    <w:p>
      <w:pPr>
        <w:spacing w:after="120" w:line="259" w:lineRule="auto"/>
        <w:ind w:firstLine="425"/>
      </w:pPr>
      <w:r>
        <w:rPr>
          <w:rFonts w:ascii="Times New Roman" w:hAnsi="Times New Roman" w:eastAsia="Times New Roman"/>
          <w:b w:val="0"/>
          <w:i w:val="0"/>
          <w:sz w:val="22"/>
        </w:rPr>
        <w:t>7.1. Размер лицензионного вознаграждения, валюта, период оплаты, тариф, скидки, количество лицензий и иные коммерческие условия указываются в Приложении № 1, счете, спецификации или ином согласованном документе.</w:t>
      </w:r>
    </w:p>
    <w:p>
      <w:pPr>
        <w:spacing w:after="120" w:line="259" w:lineRule="auto"/>
        <w:ind w:firstLine="425"/>
      </w:pPr>
      <w:r>
        <w:rPr>
          <w:rFonts w:ascii="Times New Roman" w:hAnsi="Times New Roman" w:eastAsia="Times New Roman"/>
          <w:b w:val="0"/>
          <w:i w:val="0"/>
          <w:sz w:val="22"/>
        </w:rPr>
        <w:t>7.2. Если иное не указано в счете, оплата производится в порядке 100% предоплаты. Обязанность Лицензиара предоставить лицензию возникает после поступления денежных средств на счет/карту/электронный кошелек Лицензиара либо после подтверждения оплаты платежным агентом.</w:t>
      </w:r>
    </w:p>
    <w:p>
      <w:pPr>
        <w:spacing w:after="120" w:line="259" w:lineRule="auto"/>
        <w:ind w:firstLine="425"/>
      </w:pPr>
      <w:r>
        <w:rPr>
          <w:rFonts w:ascii="Times New Roman" w:hAnsi="Times New Roman" w:eastAsia="Times New Roman"/>
          <w:b w:val="0"/>
          <w:i w:val="0"/>
          <w:sz w:val="22"/>
        </w:rPr>
        <w:t>7.3. Лицензиар применяет специальный налоговый режим «Налог на профессиональный доход». Лицензиар не выставляет счет-фактуру и не предъявляет НДС, если на дату оплаты он сохраняет соответствующий налоговый статус. После оплаты Лицензиар формирует чек в приложении «Мой налог» или ином предусмотренном ФНС сервисе и направляет его Лицензиату по электронной почте, через мессенджер, ЭДО или иным согласованным способом.</w:t>
      </w:r>
    </w:p>
    <w:p>
      <w:pPr>
        <w:spacing w:after="120" w:line="259" w:lineRule="auto"/>
        <w:ind w:firstLine="425"/>
      </w:pPr>
      <w:r>
        <w:rPr>
          <w:rFonts w:ascii="Times New Roman" w:hAnsi="Times New Roman" w:eastAsia="Times New Roman"/>
          <w:b w:val="0"/>
          <w:i w:val="0"/>
          <w:sz w:val="22"/>
        </w:rPr>
        <w:t>7.4. Лицензиат самостоятельно проверяет статус Лицензиара как плательщика НПД перед оплатой, если такая проверка требуется внутренними регламентами Лицензиата. Непроведение такой проверки Лицензиатом не является нарушением Лицензиара.</w:t>
      </w:r>
    </w:p>
    <w:p>
      <w:pPr>
        <w:spacing w:after="120" w:line="259" w:lineRule="auto"/>
        <w:ind w:firstLine="425"/>
      </w:pPr>
      <w:r>
        <w:rPr>
          <w:rFonts w:ascii="Times New Roman" w:hAnsi="Times New Roman" w:eastAsia="Times New Roman"/>
          <w:b w:val="0"/>
          <w:i w:val="0"/>
          <w:sz w:val="22"/>
        </w:rPr>
        <w:t>7.5. Лицензиат заверяет, что на дату заключения Договора он не является работодателем Лицензиара и не являлся работодателем Лицензиара в течение последних двух лет, если иное письменно не раскрыто до оплаты. Если это заверение недостоверно и повлекло налоговые, трудовые или иные последствия, Лицензиат возмещает Лицензиару все документально подтвержденные потери, штрафы, пени, расходы на представителей и иные убытки.</w:t>
      </w:r>
    </w:p>
    <w:p>
      <w:pPr>
        <w:spacing w:after="120" w:line="259" w:lineRule="auto"/>
        <w:ind w:firstLine="425"/>
      </w:pPr>
      <w:r>
        <w:rPr>
          <w:rFonts w:ascii="Times New Roman" w:hAnsi="Times New Roman" w:eastAsia="Times New Roman"/>
          <w:b w:val="0"/>
          <w:i w:val="0"/>
          <w:sz w:val="22"/>
        </w:rPr>
        <w:t>7.6. Все банковские комиссии, комиссии платежных посредников, валютные расходы, расходы на ЭДО и иные расходы плательщика несет Лицензиат, если иное не указано в счете.</w:t>
      </w:r>
    </w:p>
    <w:p>
      <w:pPr>
        <w:spacing w:after="120" w:line="259" w:lineRule="auto"/>
        <w:ind w:firstLine="425"/>
      </w:pPr>
      <w:r>
        <w:rPr>
          <w:rFonts w:ascii="Times New Roman" w:hAnsi="Times New Roman" w:eastAsia="Times New Roman"/>
          <w:b w:val="0"/>
          <w:i w:val="0"/>
          <w:sz w:val="22"/>
        </w:rPr>
        <w:t>7.7. При подписке вознаграждение является платой за доступ к праву использования Программы в течение оплаченного периода. Неиспользование Программы Лицензиатом, отсутствие фактических входов, внутренний простой, отказ от проекта, смена инфраструктуры или утрата интереса к Программе не являются основанием для возврата оплаты за уже начавшийся оплаченный период, кроме случаев, когда возврат обязателен по императивным нормам закона.</w:t>
      </w:r>
    </w:p>
    <w:p>
      <w:pPr>
        <w:spacing w:after="120" w:line="259" w:lineRule="auto"/>
        <w:ind w:firstLine="425"/>
      </w:pPr>
      <w:r>
        <w:rPr>
          <w:rFonts w:ascii="Times New Roman" w:hAnsi="Times New Roman" w:eastAsia="Times New Roman"/>
          <w:b w:val="0"/>
          <w:i w:val="0"/>
          <w:sz w:val="22"/>
        </w:rPr>
        <w:t>7.8. Лицензиар вправе изменять тарифы на будущие периоды подписки, уведомив Лицензиата путем размещения информации на сайте, направления счета или электронного сообщения. Изменение тарифа не применяется к уже оплаченному периоду.</w:t>
      </w:r>
    </w:p>
    <w:p>
      <w:pPr>
        <w:keepNext/>
        <w:spacing w:before="160" w:after="120"/>
        <w:jc w:val="center"/>
      </w:pPr>
      <w:r>
        <w:rPr>
          <w:rFonts w:ascii="Times New Roman" w:hAnsi="Times New Roman" w:eastAsia="Times New Roman"/>
          <w:b/>
          <w:sz w:val="24"/>
        </w:rPr>
        <w:t>8. Установка, эксплуатация и ответственность Лицензиата за инфраструктуру</w:t>
      </w:r>
    </w:p>
    <w:p>
      <w:pPr>
        <w:spacing w:after="120" w:line="259" w:lineRule="auto"/>
        <w:ind w:firstLine="425"/>
      </w:pPr>
      <w:r>
        <w:rPr>
          <w:rFonts w:ascii="Times New Roman" w:hAnsi="Times New Roman" w:eastAsia="Times New Roman"/>
          <w:b w:val="0"/>
          <w:i w:val="0"/>
          <w:sz w:val="22"/>
        </w:rPr>
        <w:t>8.1. Лицензиат признает, что Программа является инструментом администрирования и контроля доступа, а результат ее работы зависит от корректной инфраструктуры и настроек Лицензиата. Лицензиат обязан:</w:t>
      </w:r>
    </w:p>
    <w:p>
      <w:pPr>
        <w:pStyle w:val="ListBullet"/>
        <w:spacing w:after="60"/>
        <w:ind w:left="567" w:hanging="142"/>
      </w:pPr>
      <w:r>
        <w:rPr>
          <w:rFonts w:ascii="Times New Roman" w:hAnsi="Times New Roman" w:eastAsia="Times New Roman"/>
          <w:sz w:val="22"/>
        </w:rPr>
        <w:t>самостоятельно подготовить сервер, операционную систему, учетные записи, права локального администратора, сетевые порты, DNS/IP, firewall, Revit Server, .NET Runtime/Framework, IIS/reverse proxy и иные компоненты инфраструктуры;</w:t>
      </w:r>
    </w:p>
    <w:p>
      <w:pPr>
        <w:pStyle w:val="ListBullet"/>
        <w:spacing w:after="60"/>
        <w:ind w:left="567" w:hanging="142"/>
      </w:pPr>
      <w:r>
        <w:rPr>
          <w:rFonts w:ascii="Times New Roman" w:hAnsi="Times New Roman" w:eastAsia="Times New Roman"/>
          <w:sz w:val="22"/>
        </w:rPr>
        <w:t>получить и поддерживать законные лицензии Autodesk, Revit, Revit Server, Windows Server, СУБД, средств виртуализации, антивирусов и иных продуктов третьих лиц;</w:t>
      </w:r>
    </w:p>
    <w:p>
      <w:pPr>
        <w:pStyle w:val="ListBullet"/>
        <w:spacing w:after="60"/>
        <w:ind w:left="567" w:hanging="142"/>
      </w:pPr>
      <w:r>
        <w:rPr>
          <w:rFonts w:ascii="Times New Roman" w:hAnsi="Times New Roman" w:eastAsia="Times New Roman"/>
          <w:sz w:val="22"/>
        </w:rPr>
        <w:t>перед установкой, обновлением, изменением портов, включением proxy или изменением политик доступа выполнить резервное копирование проектов Revit Server, баз RSG, proxy-настроек, журналов и иной критичной информации;</w:t>
      </w:r>
    </w:p>
    <w:p>
      <w:pPr>
        <w:pStyle w:val="ListBullet"/>
        <w:spacing w:after="60"/>
        <w:ind w:left="567" w:hanging="142"/>
      </w:pPr>
      <w:r>
        <w:rPr>
          <w:rFonts w:ascii="Times New Roman" w:hAnsi="Times New Roman" w:eastAsia="Times New Roman"/>
          <w:sz w:val="22"/>
        </w:rPr>
        <w:t>настроить роли, разделы, привязки папок, пользователей, IP/машины/AD-идентичности, параметры доступа и резервного копирования в соответствии с Документацией и собственными внутренними регламентами;</w:t>
      </w:r>
    </w:p>
    <w:p>
      <w:pPr>
        <w:pStyle w:val="ListBullet"/>
        <w:spacing w:after="60"/>
        <w:ind w:left="567" w:hanging="142"/>
      </w:pPr>
      <w:r>
        <w:rPr>
          <w:rFonts w:ascii="Times New Roman" w:hAnsi="Times New Roman" w:eastAsia="Times New Roman"/>
          <w:sz w:val="22"/>
        </w:rPr>
        <w:t>не оставлять прямой доступ пользователей к внутреннему target-порту Revit Server, если Лицензиат рассчитывает на применение защитного proxy-контура;</w:t>
      </w:r>
    </w:p>
    <w:p>
      <w:pPr>
        <w:pStyle w:val="ListBullet"/>
        <w:spacing w:after="60"/>
        <w:ind w:left="567" w:hanging="142"/>
      </w:pPr>
      <w:r>
        <w:rPr>
          <w:rFonts w:ascii="Times New Roman" w:hAnsi="Times New Roman" w:eastAsia="Times New Roman"/>
          <w:sz w:val="22"/>
        </w:rPr>
        <w:t>своевременно устанавливать критические обновления ОС, Revit Server, RSG и сопутствующих компонентов, контролировать журналы ошибок и выполнять тестирование после изменений;</w:t>
      </w:r>
    </w:p>
    <w:p>
      <w:pPr>
        <w:pStyle w:val="ListBullet"/>
        <w:spacing w:after="60"/>
        <w:ind w:left="567" w:hanging="142"/>
      </w:pPr>
      <w:r>
        <w:rPr>
          <w:rFonts w:ascii="Times New Roman" w:hAnsi="Times New Roman" w:eastAsia="Times New Roman"/>
          <w:sz w:val="22"/>
        </w:rPr>
        <w:t>обеспечить обучение администраторов и ограничить доступ к панели RSG только уполномоченным лицам;</w:t>
      </w:r>
    </w:p>
    <w:p>
      <w:pPr>
        <w:pStyle w:val="ListBullet"/>
        <w:spacing w:after="60"/>
        <w:ind w:left="567" w:hanging="142"/>
      </w:pPr>
      <w:r>
        <w:rPr>
          <w:rFonts w:ascii="Times New Roman" w:hAnsi="Times New Roman" w:eastAsia="Times New Roman"/>
          <w:sz w:val="22"/>
        </w:rPr>
        <w:t>самостоятельно проверять корректность настроек после установки, обновления или миграции, включая тесты «нет назначения — отказ», «есть роль — видимость проекта», «есть секционное право — запись в нужном разделе».</w:t>
      </w:r>
    </w:p>
    <w:p>
      <w:pPr>
        <w:spacing w:after="120" w:line="259" w:lineRule="auto"/>
        <w:ind w:firstLine="425"/>
      </w:pPr>
      <w:r>
        <w:rPr>
          <w:rFonts w:ascii="Times New Roman" w:hAnsi="Times New Roman" w:eastAsia="Times New Roman"/>
          <w:b w:val="0"/>
          <w:i w:val="0"/>
          <w:sz w:val="22"/>
        </w:rPr>
        <w:t>8.2. Лицензиар не несет ответственности за последствия ошибок инфраструктуры, действий администраторов Лицензиата, неправильных назначений ролей, незакрытых портов, отсутствия резервных копий, прямого обхода proxy, конфликтов с антивирусами/firewall, повреждений Revit Server, решений Autodesk, сбоев ОС, оборудования, сети, провайдеров, сертификатов, доменной инфраструктуры или стороннего ПО.</w:t>
      </w:r>
    </w:p>
    <w:p>
      <w:pPr>
        <w:spacing w:after="120" w:line="259" w:lineRule="auto"/>
        <w:ind w:firstLine="425"/>
      </w:pPr>
      <w:r>
        <w:rPr>
          <w:rFonts w:ascii="Times New Roman" w:hAnsi="Times New Roman" w:eastAsia="Times New Roman"/>
          <w:b w:val="0"/>
          <w:i w:val="0"/>
          <w:sz w:val="22"/>
        </w:rPr>
        <w:t>8.3. Любые рекомендации Лицензиара по настройке являются технической консультацией и не освобождают Лицензиата от самостоятельной проверки результата в своей среде. Если установка, внедрение, аудит инфраструктуры, обучение или сопровождение не включены в Приложение № 1, они не входят в стоимость лицензии и могут оказываться только по отдельному соглашению.</w:t>
      </w:r>
    </w:p>
    <w:p>
      <w:pPr>
        <w:keepNext/>
        <w:spacing w:before="160" w:after="120"/>
        <w:jc w:val="center"/>
      </w:pPr>
      <w:r>
        <w:rPr>
          <w:rFonts w:ascii="Times New Roman" w:hAnsi="Times New Roman" w:eastAsia="Times New Roman"/>
          <w:b/>
          <w:sz w:val="24"/>
        </w:rPr>
        <w:t>9. Техническая поддержка и обновления</w:t>
      </w:r>
    </w:p>
    <w:p>
      <w:pPr>
        <w:spacing w:after="120" w:line="259" w:lineRule="auto"/>
        <w:ind w:firstLine="425"/>
      </w:pPr>
      <w:r>
        <w:rPr>
          <w:rFonts w:ascii="Times New Roman" w:hAnsi="Times New Roman" w:eastAsia="Times New Roman"/>
          <w:b w:val="0"/>
          <w:i w:val="0"/>
          <w:sz w:val="22"/>
        </w:rPr>
        <w:t>9.1. В течение оплаченного периода подписки Лицензиар может предоставлять обновления, исправления и поддержку в объеме, указанном в Приложении № 1. Если уровень поддержки не согласован, поддержка оказывается по мере разумной возможности Лицензиара без гарантированного времени реакции и без обязательства устранить каждое обращение в определенный срок.</w:t>
      </w:r>
    </w:p>
    <w:p>
      <w:pPr>
        <w:spacing w:after="120" w:line="259" w:lineRule="auto"/>
        <w:ind w:firstLine="425"/>
      </w:pPr>
      <w:r>
        <w:rPr>
          <w:rFonts w:ascii="Times New Roman" w:hAnsi="Times New Roman" w:eastAsia="Times New Roman"/>
          <w:b w:val="0"/>
          <w:i w:val="0"/>
          <w:sz w:val="22"/>
        </w:rPr>
        <w:t>9.2. По окончании или при приостановке подписки право на получение обновлений, технической поддержки, новых ключей, консультаций и доступа к закрытым материалам прекращается.</w:t>
      </w:r>
    </w:p>
    <w:p>
      <w:pPr>
        <w:spacing w:after="120" w:line="259" w:lineRule="auto"/>
        <w:ind w:firstLine="425"/>
      </w:pPr>
      <w:r>
        <w:rPr>
          <w:rFonts w:ascii="Times New Roman" w:hAnsi="Times New Roman" w:eastAsia="Times New Roman"/>
          <w:b w:val="0"/>
          <w:i w:val="0"/>
          <w:sz w:val="22"/>
        </w:rPr>
        <w:t>9.3. Лицензиар вправе изменять состав функций, интерфейс, поддерживаемые версии, порядок активации и технические требования будущих обновлений, если это не лишает Лицензиата возможности использовать оплаченную подписку в существенной части в пределах оплаченного периода.</w:t>
      </w:r>
    </w:p>
    <w:p>
      <w:pPr>
        <w:spacing w:after="120" w:line="259" w:lineRule="auto"/>
        <w:ind w:firstLine="425"/>
      </w:pPr>
      <w:r>
        <w:rPr>
          <w:rFonts w:ascii="Times New Roman" w:hAnsi="Times New Roman" w:eastAsia="Times New Roman"/>
          <w:b w:val="0"/>
          <w:i w:val="0"/>
          <w:sz w:val="22"/>
        </w:rPr>
        <w:t>9.4. Лицензиар не обязан выполнять доработку под индивидуальные процессы Лицензиата, интеграцию с внутренними системами, восстановление данных, администрирование Revit Server, расследование инцидентов, подготовку отчетов для третьих лиц, выезд на площадку или круглосуточное сопровождение, если это прямо не оплачено отдельно.</w:t>
      </w:r>
    </w:p>
    <w:p>
      <w:pPr>
        <w:keepNext/>
        <w:spacing w:before="160" w:after="120"/>
        <w:jc w:val="center"/>
      </w:pPr>
      <w:r>
        <w:rPr>
          <w:rFonts w:ascii="Times New Roman" w:hAnsi="Times New Roman" w:eastAsia="Times New Roman"/>
          <w:b/>
          <w:sz w:val="24"/>
        </w:rPr>
        <w:t>10. Гарантии, заверения и отказ от дополнительных гарантий</w:t>
      </w:r>
    </w:p>
    <w:p>
      <w:pPr>
        <w:spacing w:after="120" w:line="259" w:lineRule="auto"/>
        <w:ind w:firstLine="425"/>
      </w:pPr>
      <w:r>
        <w:rPr>
          <w:rFonts w:ascii="Times New Roman" w:hAnsi="Times New Roman" w:eastAsia="Times New Roman"/>
          <w:b w:val="0"/>
          <w:i w:val="0"/>
          <w:sz w:val="22"/>
        </w:rPr>
        <w:t>10.1. Лицензиар заверяет, что на дату заключения Договора обладает правами, достаточными для предоставления простой неисключительной лицензии на Программу в пределах Договора.</w:t>
      </w:r>
    </w:p>
    <w:p>
      <w:pPr>
        <w:spacing w:after="120" w:line="259" w:lineRule="auto"/>
        <w:ind w:firstLine="425"/>
      </w:pPr>
      <w:r>
        <w:rPr>
          <w:rFonts w:ascii="Times New Roman" w:hAnsi="Times New Roman" w:eastAsia="Times New Roman"/>
          <w:b w:val="0"/>
          <w:i w:val="0"/>
          <w:sz w:val="22"/>
        </w:rPr>
        <w:t>10.2. Лицензиат заверяет, что заключает Договор в профессиональных целях, понимает назначение Программы, имеет необходимые полномочия, инфраструктуру, квалифицированных специалистов и законные права на администрируемые проекты, серверы и данные.</w:t>
      </w:r>
    </w:p>
    <w:p>
      <w:pPr>
        <w:spacing w:after="120" w:line="259" w:lineRule="auto"/>
        <w:ind w:firstLine="425"/>
      </w:pPr>
      <w:r>
        <w:rPr>
          <w:rFonts w:ascii="Times New Roman" w:hAnsi="Times New Roman" w:eastAsia="Times New Roman"/>
          <w:b w:val="0"/>
          <w:i w:val="0"/>
          <w:sz w:val="22"/>
        </w:rPr>
        <w:t>10.3. Программа предоставляется в состоянии «как есть» и «как доступно» с учетом выбранной версии, документации и технических требований. Лицензиар не гарантирует, что Программа будет полностью безошибочной, будет работать непрерывно, предотвратит все нарушения доступа, исключит все человеческие ошибки, заменит внутренний контроль Лицензиата, обеспечит соответствие всем отраслевым стандартам или приведет к определенному экономическому, управленческому, юридическому или техническому результату.</w:t>
      </w:r>
    </w:p>
    <w:p>
      <w:pPr>
        <w:spacing w:after="120" w:line="259" w:lineRule="auto"/>
        <w:ind w:firstLine="425"/>
      </w:pPr>
      <w:r>
        <w:rPr>
          <w:rFonts w:ascii="Times New Roman" w:hAnsi="Times New Roman" w:eastAsia="Times New Roman"/>
          <w:b w:val="0"/>
          <w:i w:val="0"/>
          <w:sz w:val="22"/>
        </w:rPr>
        <w:t>10.4. Лицензиар не гарантирует совместимость Программы с будущими версиями Autodesk Revit/Revit Server, Windows, .NET, IIS, антивирусов, firewall, прокси, доменных политик, облачных сервисов, оборудования и иного стороннего ПО, если такая совместимость прямо не указана в Лицензионных параметрах.</w:t>
      </w:r>
    </w:p>
    <w:p>
      <w:pPr>
        <w:spacing w:after="120" w:line="259" w:lineRule="auto"/>
        <w:ind w:firstLine="425"/>
      </w:pPr>
      <w:r>
        <w:rPr>
          <w:rFonts w:ascii="Times New Roman" w:hAnsi="Times New Roman" w:eastAsia="Times New Roman"/>
          <w:b w:val="0"/>
          <w:i w:val="0"/>
          <w:sz w:val="22"/>
        </w:rPr>
        <w:t>10.5. Все публичные описания преимуществ Программы, включая снижение организационных рисков, аудит, контроль доступа и резервное копирование, являются описанием функционального назначения. Они не являются гарантией абсолютной защиты, отсутствия инцидентов, сохранности данных, непрерывности бизнеса, прохождения проверок, отсутствия претензий третьих лиц или экономической выгоды.</w:t>
      </w:r>
    </w:p>
    <w:p>
      <w:pPr>
        <w:spacing w:after="120" w:line="259" w:lineRule="auto"/>
        <w:ind w:firstLine="425"/>
      </w:pPr>
      <w:r>
        <w:rPr>
          <w:rFonts w:ascii="Times New Roman" w:hAnsi="Times New Roman" w:eastAsia="Times New Roman"/>
          <w:b w:val="0"/>
          <w:i w:val="0"/>
          <w:sz w:val="22"/>
        </w:rPr>
        <w:t>10.6. Если Лицензиат является потребителем в смысле законодательства о защите прав потребителей, положения настоящего раздела применяются в той мере, в какой они не ограничивают его императивные права.</w:t>
      </w:r>
    </w:p>
    <w:p>
      <w:pPr>
        <w:keepNext/>
        <w:spacing w:before="160" w:after="120"/>
        <w:jc w:val="center"/>
      </w:pPr>
      <w:r>
        <w:rPr>
          <w:rFonts w:ascii="Times New Roman" w:hAnsi="Times New Roman" w:eastAsia="Times New Roman"/>
          <w:b/>
          <w:sz w:val="24"/>
        </w:rPr>
        <w:t>11. Ответственность и ограничение ответственности Лицензиара</w:t>
      </w:r>
    </w:p>
    <w:p>
      <w:pPr>
        <w:spacing w:after="120" w:line="259" w:lineRule="auto"/>
        <w:ind w:firstLine="425"/>
      </w:pPr>
      <w:r>
        <w:rPr>
          <w:rFonts w:ascii="Times New Roman" w:hAnsi="Times New Roman" w:eastAsia="Times New Roman"/>
          <w:b w:val="0"/>
          <w:i w:val="0"/>
          <w:sz w:val="22"/>
        </w:rPr>
        <w:t>11.1. Лицензиар несет ответственность только за прямой реальный ущерб, доказанно причиненный виновным нарушением Договора Лицензиаром, при условии, что Лицензиат надлежащим образом исполнил свои обязанности, своевременно уведомил Лицензиара, принял разумные меры к уменьшению ущерба и сохранил доказательства причинно-следственной связи.</w:t>
      </w:r>
    </w:p>
    <w:p>
      <w:pPr>
        <w:spacing w:after="120" w:line="259" w:lineRule="auto"/>
        <w:ind w:firstLine="425"/>
      </w:pPr>
      <w:r>
        <w:rPr>
          <w:rFonts w:ascii="Times New Roman" w:hAnsi="Times New Roman" w:eastAsia="Times New Roman"/>
          <w:b w:val="0"/>
          <w:i w:val="0"/>
          <w:sz w:val="22"/>
        </w:rPr>
        <w:t>11.2. Общий размер ответственности Лицензиара по всем требованиям, связанным с подпиской, ограничен суммой лицензионного вознаграждения, фактически уплаченной Лицензиатом за 3 (три) календарных месяца, предшествующих событию, послужившему основанием требования, а если подписка оплачена на меньший срок — суммой оплаты за фактически оплаченный период, если иное не является обязательным по закону.</w:t>
      </w:r>
    </w:p>
    <w:p>
      <w:pPr>
        <w:spacing w:after="120" w:line="259" w:lineRule="auto"/>
        <w:ind w:firstLine="425"/>
      </w:pPr>
      <w:r>
        <w:rPr>
          <w:rFonts w:ascii="Times New Roman" w:hAnsi="Times New Roman" w:eastAsia="Times New Roman"/>
          <w:b w:val="0"/>
          <w:i w:val="0"/>
          <w:sz w:val="22"/>
        </w:rPr>
        <w:t>11.3. Лицензиар ни при каких обстоятельствах не отвечает за упущенную выгоду, потерю прибыли, потерю контрактов, простой сотрудников, простой проектной группы, срыв сроков проектирования, штрафы заказчиков Лицензиата, ущерб репутации, косвенные, случайные, штрафные, последующие или специальные убытки, утрату/повреждение данных, расходы на восстановление данных, замещающие услуги, модернизацию инфраструктуры, киберинциденты, действия третьих лиц или требования конечных заказчиков Лицензиата, если только обязательная ответственность не установлена законом.</w:t>
      </w:r>
    </w:p>
    <w:p>
      <w:pPr>
        <w:spacing w:after="120" w:line="259" w:lineRule="auto"/>
        <w:ind w:firstLine="425"/>
      </w:pPr>
      <w:r>
        <w:rPr>
          <w:rFonts w:ascii="Times New Roman" w:hAnsi="Times New Roman" w:eastAsia="Times New Roman"/>
          <w:b w:val="0"/>
          <w:i w:val="0"/>
          <w:sz w:val="22"/>
        </w:rPr>
        <w:t>11.4. Ограничения ответственности не применяются в той части, в которой их применение прямо запрещено императивными нормами закона, а также к ответственности за умышленное причинение вреда, если такая ответственность установлена вступившим в силу судебным актом.</w:t>
      </w:r>
    </w:p>
    <w:p>
      <w:pPr>
        <w:spacing w:after="120" w:line="259" w:lineRule="auto"/>
        <w:ind w:firstLine="425"/>
      </w:pPr>
      <w:r>
        <w:rPr>
          <w:rFonts w:ascii="Times New Roman" w:hAnsi="Times New Roman" w:eastAsia="Times New Roman"/>
          <w:b w:val="0"/>
          <w:i w:val="0"/>
          <w:sz w:val="22"/>
        </w:rPr>
        <w:t>11.5. За нарушение ограничений лицензии Лицензиат уплачивает Лицензиару неустойку в размере 300% стоимости соответствующей лицензии за каждый выявленный случай нарушения, но не менее 100 000 (ста тысяч) рублей, а также возмещает убытки сверх неустойки в части, не покрытой неустойкой. Уплата неустойки не легализует нарушение и не предоставляет дополнительных прав.</w:t>
      </w:r>
    </w:p>
    <w:p>
      <w:pPr>
        <w:spacing w:after="120" w:line="259" w:lineRule="auto"/>
        <w:ind w:firstLine="425"/>
      </w:pPr>
      <w:r>
        <w:rPr>
          <w:rFonts w:ascii="Times New Roman" w:hAnsi="Times New Roman" w:eastAsia="Times New Roman"/>
          <w:b w:val="0"/>
          <w:i w:val="0"/>
          <w:sz w:val="22"/>
        </w:rPr>
        <w:t>11.6. Если Лицензиат допустил несанкционированное распространение ключей, дистрибутива, документации или доступ третьих лиц, Лицензиат обязан по требованию Лицензиара предоставить сведения о распространении, прекратить доступ, удалить незаконные копии, оплатить недополученное лицензионное вознаграждение и возместить расходы на расследование и защиту прав.</w:t>
      </w:r>
    </w:p>
    <w:p>
      <w:pPr>
        <w:keepNext/>
        <w:spacing w:before="160" w:after="120"/>
        <w:jc w:val="center"/>
      </w:pPr>
      <w:r>
        <w:rPr>
          <w:rFonts w:ascii="Times New Roman" w:hAnsi="Times New Roman" w:eastAsia="Times New Roman"/>
          <w:b/>
          <w:sz w:val="24"/>
        </w:rPr>
        <w:t>12. Конфиденциальность, безопасность и данные</w:t>
      </w:r>
    </w:p>
    <w:p>
      <w:pPr>
        <w:spacing w:after="120" w:line="259" w:lineRule="auto"/>
        <w:ind w:firstLine="425"/>
      </w:pPr>
      <w:r>
        <w:rPr>
          <w:rFonts w:ascii="Times New Roman" w:hAnsi="Times New Roman" w:eastAsia="Times New Roman"/>
          <w:b w:val="0"/>
          <w:i w:val="0"/>
          <w:sz w:val="22"/>
        </w:rPr>
        <w:t>12.1. Конфиденциальной информацией признаются: дистрибутивы, ключи, документация с ограниченным доступом, цены, условия скидок, переписка, схемы архитектуры, сведения о настройках, журналах, уязвимостях, обходных путях, исходных материалах, коммерческих планах и иная непубличная информация, полученная сторонами при исполнении Договора.</w:t>
      </w:r>
    </w:p>
    <w:p>
      <w:pPr>
        <w:spacing w:after="120" w:line="259" w:lineRule="auto"/>
        <w:ind w:firstLine="425"/>
      </w:pPr>
      <w:r>
        <w:rPr>
          <w:rFonts w:ascii="Times New Roman" w:hAnsi="Times New Roman" w:eastAsia="Times New Roman"/>
          <w:b w:val="0"/>
          <w:i w:val="0"/>
          <w:sz w:val="22"/>
        </w:rPr>
        <w:t>12.2. Лицензиат обязан не раскрывать Конфиденциальную информацию третьим лицам без письменного согласия Лицензиара, использовать ее только для исполнения Договора и обеспечить аналогичный режим со стороны Авторизованных пользователей, подрядчиков и администраторов.</w:t>
      </w:r>
    </w:p>
    <w:p>
      <w:pPr>
        <w:spacing w:after="120" w:line="259" w:lineRule="auto"/>
        <w:ind w:firstLine="425"/>
      </w:pPr>
      <w:r>
        <w:rPr>
          <w:rFonts w:ascii="Times New Roman" w:hAnsi="Times New Roman" w:eastAsia="Times New Roman"/>
          <w:b w:val="0"/>
          <w:i w:val="0"/>
          <w:sz w:val="22"/>
        </w:rPr>
        <w:t>12.3. Программа может обрабатывать технические сведения, необходимые для лицензирования, аудита и диагностики: идентификаторы сервера, версии, логи ошибок, параметры лицензии, сведения об активации, IP/машины/логины, события доступа. Лицензиат отвечает за законность обработки таких сведений в своей инфраструктуре, уведомление пользователей и соблюдение требований о персональных данных, если эти сведения признаются персональными данными.</w:t>
      </w:r>
    </w:p>
    <w:p>
      <w:pPr>
        <w:spacing w:after="120" w:line="259" w:lineRule="auto"/>
        <w:ind w:firstLine="425"/>
      </w:pPr>
      <w:r>
        <w:rPr>
          <w:rFonts w:ascii="Times New Roman" w:hAnsi="Times New Roman" w:eastAsia="Times New Roman"/>
          <w:b w:val="0"/>
          <w:i w:val="0"/>
          <w:sz w:val="22"/>
        </w:rPr>
        <w:t>12.4. При обращении в поддержку Лицензиат обязан не передавать персональные данные, коммерческую тайну, проектную документацию, модели, пароли и иные чувствительные сведения, если их передача не требуется и не согласована отдельно. Передавая материалы, Лицензиат подтверждает наличие прав и согласий на такую передачу.</w:t>
      </w:r>
    </w:p>
    <w:p>
      <w:pPr>
        <w:spacing w:after="120" w:line="259" w:lineRule="auto"/>
        <w:ind w:firstLine="425"/>
      </w:pPr>
      <w:r>
        <w:rPr>
          <w:rFonts w:ascii="Times New Roman" w:hAnsi="Times New Roman" w:eastAsia="Times New Roman"/>
          <w:b w:val="0"/>
          <w:i w:val="0"/>
          <w:sz w:val="22"/>
        </w:rPr>
        <w:t>12.5. Лицензиар вправе хранить переписку, сведения об активации, оплате, обращениях, версии лицензии и технические журналы в объеме, необходимом для исполнения Договора, защиты прав, налогового учета и подтверждения предоставления лицензии.</w:t>
      </w:r>
    </w:p>
    <w:p>
      <w:pPr>
        <w:keepNext/>
        <w:spacing w:before="160" w:after="120"/>
        <w:jc w:val="center"/>
      </w:pPr>
      <w:r>
        <w:rPr>
          <w:rFonts w:ascii="Times New Roman" w:hAnsi="Times New Roman" w:eastAsia="Times New Roman"/>
          <w:b/>
          <w:sz w:val="24"/>
        </w:rPr>
        <w:t>13. Права третьих лиц и продукты Autodesk</w:t>
      </w:r>
    </w:p>
    <w:p>
      <w:pPr>
        <w:spacing w:after="120" w:line="259" w:lineRule="auto"/>
        <w:ind w:firstLine="425"/>
      </w:pPr>
      <w:r>
        <w:rPr>
          <w:rFonts w:ascii="Times New Roman" w:hAnsi="Times New Roman" w:eastAsia="Times New Roman"/>
          <w:b w:val="0"/>
          <w:i w:val="0"/>
          <w:sz w:val="22"/>
        </w:rPr>
        <w:t>13.1. Autodesk, Revit, Revit Server и иные обозначения третьих лиц принадлежат соответствующим правообладателям. Настоящий Договор не предоставляет Лицензиату никаких прав на продукты, товарные знаки, сервисы или документацию Autodesk и иных третьих лиц.</w:t>
      </w:r>
    </w:p>
    <w:p>
      <w:pPr>
        <w:spacing w:after="120" w:line="259" w:lineRule="auto"/>
        <w:ind w:firstLine="425"/>
      </w:pPr>
      <w:r>
        <w:rPr>
          <w:rFonts w:ascii="Times New Roman" w:hAnsi="Times New Roman" w:eastAsia="Times New Roman"/>
          <w:b w:val="0"/>
          <w:i w:val="0"/>
          <w:sz w:val="22"/>
        </w:rPr>
        <w:t>13.2. Лицензиат самостоятельно приобретает, поддерживает и соблюдает лицензии на Autodesk Revit/Revit Server, Windows Server, .NET, IIS, базы данных, антивирусы, средства виртуализации, сетевое оборудование и иные компоненты, необходимые для работы Программы.</w:t>
      </w:r>
    </w:p>
    <w:p>
      <w:pPr>
        <w:spacing w:after="120" w:line="259" w:lineRule="auto"/>
        <w:ind w:firstLine="425"/>
      </w:pPr>
      <w:r>
        <w:rPr>
          <w:rFonts w:ascii="Times New Roman" w:hAnsi="Times New Roman" w:eastAsia="Times New Roman"/>
          <w:b w:val="0"/>
          <w:i w:val="0"/>
          <w:sz w:val="22"/>
        </w:rPr>
        <w:t>13.3. Лицензиар не несет ответственности за изменения, ограничения, ошибки, прекращение поддержки, лицензионные условия, блокировки, санкционные ограничения, обновления, несовместимость или решения правообладателей стороннего ПО, влияющие на работу Программы.</w:t>
      </w:r>
    </w:p>
    <w:p>
      <w:pPr>
        <w:keepNext/>
        <w:spacing w:before="160" w:after="120"/>
        <w:jc w:val="center"/>
      </w:pPr>
      <w:r>
        <w:rPr>
          <w:rFonts w:ascii="Times New Roman" w:hAnsi="Times New Roman" w:eastAsia="Times New Roman"/>
          <w:b/>
          <w:sz w:val="24"/>
        </w:rPr>
        <w:t>14. Проверка использования и отчеты</w:t>
      </w:r>
    </w:p>
    <w:p>
      <w:pPr>
        <w:spacing w:after="120" w:line="259" w:lineRule="auto"/>
        <w:ind w:firstLine="425"/>
      </w:pPr>
      <w:r>
        <w:rPr>
          <w:rFonts w:ascii="Times New Roman" w:hAnsi="Times New Roman" w:eastAsia="Times New Roman"/>
          <w:b w:val="0"/>
          <w:i w:val="0"/>
          <w:sz w:val="22"/>
        </w:rPr>
        <w:t>14.1. Лицензиат обязан по мотивированному запросу Лицензиара, но не чаще одного раза в квартал, предоставлять отчет об использовании Программы: количество установок, серверов, пользователей, версий Revit Server, перечень сред, дату активации и иные сведения, необходимые для проверки соблюдения Лицензионных параметров.</w:t>
      </w:r>
    </w:p>
    <w:p>
      <w:pPr>
        <w:spacing w:after="120" w:line="259" w:lineRule="auto"/>
        <w:ind w:firstLine="425"/>
      </w:pPr>
      <w:r>
        <w:rPr>
          <w:rFonts w:ascii="Times New Roman" w:hAnsi="Times New Roman" w:eastAsia="Times New Roman"/>
          <w:b w:val="0"/>
          <w:i w:val="0"/>
          <w:sz w:val="22"/>
        </w:rPr>
        <w:t>14.2. При наличии признаков нарушения Договора Лицензиар вправе запросить внеочередной отчет, журналы активации, скриншоты конфигурации, сведения о серверах и пользователей, а также приостановить ключ до устранения нарушения или предоставления подтверждений.</w:t>
      </w:r>
    </w:p>
    <w:p>
      <w:pPr>
        <w:spacing w:after="120" w:line="259" w:lineRule="auto"/>
        <w:ind w:firstLine="425"/>
      </w:pPr>
      <w:r>
        <w:rPr>
          <w:rFonts w:ascii="Times New Roman" w:hAnsi="Times New Roman" w:eastAsia="Times New Roman"/>
          <w:b w:val="0"/>
          <w:i w:val="0"/>
          <w:sz w:val="22"/>
        </w:rPr>
        <w:t>14.3. Непредоставление отчета в течение 10 (десяти) рабочих дней, предоставление недостоверных сведений, отказ от проверки или удаление доказательств считается существенным нарушением Договора.</w:t>
      </w:r>
    </w:p>
    <w:p>
      <w:pPr>
        <w:keepNext/>
        <w:spacing w:before="160" w:after="120"/>
        <w:jc w:val="center"/>
      </w:pPr>
      <w:r>
        <w:rPr>
          <w:rFonts w:ascii="Times New Roman" w:hAnsi="Times New Roman" w:eastAsia="Times New Roman"/>
          <w:b/>
          <w:sz w:val="24"/>
        </w:rPr>
        <w:t>15. Срок действия, приостановка и расторжение</w:t>
      </w:r>
    </w:p>
    <w:p>
      <w:pPr>
        <w:spacing w:after="120" w:line="259" w:lineRule="auto"/>
        <w:ind w:firstLine="425"/>
      </w:pPr>
      <w:r>
        <w:rPr>
          <w:rFonts w:ascii="Times New Roman" w:hAnsi="Times New Roman" w:eastAsia="Times New Roman"/>
          <w:b w:val="0"/>
          <w:i w:val="0"/>
          <w:sz w:val="22"/>
        </w:rPr>
        <w:t>15.1. Договор вступает в силу с даты подписания сторонами, акцепта оферты, оплаты счета, активации лицензии или иного подтвержденного согласия Лицензиата с условиями Договора — в зависимости от того, какое событие наступило раньше.</w:t>
      </w:r>
    </w:p>
    <w:p>
      <w:pPr>
        <w:spacing w:after="120" w:line="259" w:lineRule="auto"/>
        <w:ind w:firstLine="425"/>
      </w:pPr>
      <w:r>
        <w:rPr>
          <w:rFonts w:ascii="Times New Roman" w:hAnsi="Times New Roman" w:eastAsia="Times New Roman"/>
          <w:b w:val="0"/>
          <w:i w:val="0"/>
          <w:sz w:val="22"/>
        </w:rPr>
        <w:t>15.2. Договор действует в течение оплаченного периода подписки и автоматически прекращается в части права использования Программы по окончании такого периода, если стороны не согласовали и Лицензиат не оплатил продление.</w:t>
      </w:r>
    </w:p>
    <w:p>
      <w:pPr>
        <w:spacing w:after="120" w:line="259" w:lineRule="auto"/>
        <w:ind w:firstLine="425"/>
      </w:pPr>
      <w:r>
        <w:rPr>
          <w:rFonts w:ascii="Times New Roman" w:hAnsi="Times New Roman" w:eastAsia="Times New Roman"/>
          <w:b w:val="0"/>
          <w:i w:val="0"/>
          <w:sz w:val="22"/>
        </w:rPr>
        <w:t>15.3. Лицензиар вправе приостановить подписку, поддержку, обновления и действие ключей при просрочке оплаты, подозрении на нарушение, превышении Лицензионных параметров, угрозе безопасности или ином существенном нарушении. Приостановка не продлевает оплаченный период, если причина вызвана действиями или бездействием Лицензиата.</w:t>
      </w:r>
    </w:p>
    <w:p>
      <w:pPr>
        <w:spacing w:after="120" w:line="259" w:lineRule="auto"/>
        <w:ind w:firstLine="425"/>
      </w:pPr>
      <w:r>
        <w:rPr>
          <w:rFonts w:ascii="Times New Roman" w:hAnsi="Times New Roman" w:eastAsia="Times New Roman"/>
          <w:b w:val="0"/>
          <w:i w:val="0"/>
          <w:sz w:val="22"/>
        </w:rPr>
        <w:t>15.4. После прекращения права использования Лицензиат обязан немедленно прекратить запуск Программы, удалить рабочие копии, прекратить доступ пользователей, удалить ключи и дистрибутивы, за исключением одной архивной копии документации и закрывающих документов, если их хранение требуется законом.</w:t>
      </w:r>
    </w:p>
    <w:p>
      <w:pPr>
        <w:spacing w:after="120" w:line="259" w:lineRule="auto"/>
        <w:ind w:firstLine="425"/>
      </w:pPr>
      <w:r>
        <w:rPr>
          <w:rFonts w:ascii="Times New Roman" w:hAnsi="Times New Roman" w:eastAsia="Times New Roman"/>
          <w:b w:val="0"/>
          <w:i w:val="0"/>
          <w:sz w:val="22"/>
        </w:rPr>
        <w:t>15.5. Лицензиар вправе отказаться от Договора полностью или частично путем уведомления Лицензиата при существенном нарушении, невозможности законного исполнения, санкционных/экспортных ограничениях, угрозе правам Лицензиара, злоупотреблении правом, предоставлении недостоверных заверений или использовании Программы с нарушением закона.</w:t>
      </w:r>
    </w:p>
    <w:p>
      <w:pPr>
        <w:keepNext/>
        <w:spacing w:before="160" w:after="120"/>
        <w:jc w:val="center"/>
      </w:pPr>
      <w:r>
        <w:rPr>
          <w:rFonts w:ascii="Times New Roman" w:hAnsi="Times New Roman" w:eastAsia="Times New Roman"/>
          <w:b/>
          <w:sz w:val="24"/>
        </w:rPr>
        <w:t>16. Претензионный порядок, применимое право и споры</w:t>
      </w:r>
    </w:p>
    <w:p>
      <w:pPr>
        <w:spacing w:after="120" w:line="259" w:lineRule="auto"/>
        <w:ind w:firstLine="425"/>
      </w:pPr>
      <w:r>
        <w:rPr>
          <w:rFonts w:ascii="Times New Roman" w:hAnsi="Times New Roman" w:eastAsia="Times New Roman"/>
          <w:b w:val="0"/>
          <w:i w:val="0"/>
          <w:sz w:val="22"/>
        </w:rPr>
        <w:t>16.1. К Договору применяется право Российской Федерации. Переписка и документы по Договору ведутся на русском языке, если стороны письменно не согласовали иное. При расхождении русского текста и перевода приоритет имеет русский текст.</w:t>
      </w:r>
    </w:p>
    <w:p>
      <w:pPr>
        <w:spacing w:after="120" w:line="259" w:lineRule="auto"/>
        <w:ind w:firstLine="425"/>
      </w:pPr>
      <w:r>
        <w:rPr>
          <w:rFonts w:ascii="Times New Roman" w:hAnsi="Times New Roman" w:eastAsia="Times New Roman"/>
          <w:b w:val="0"/>
          <w:i w:val="0"/>
          <w:sz w:val="22"/>
        </w:rPr>
        <w:t>16.2. До обращения в суд сторона направляет письменную претензию. Срок ответа на претензию — 30 (тридцать) календарных дней с даты получения, если иной срок не установлен обязательными нормами закона.</w:t>
      </w:r>
    </w:p>
    <w:p>
      <w:pPr>
        <w:spacing w:after="120" w:line="259" w:lineRule="auto"/>
        <w:ind w:firstLine="425"/>
      </w:pPr>
      <w:r>
        <w:rPr>
          <w:rFonts w:ascii="Times New Roman" w:hAnsi="Times New Roman" w:eastAsia="Times New Roman"/>
          <w:b w:val="0"/>
          <w:i w:val="0"/>
          <w:sz w:val="22"/>
        </w:rPr>
        <w:t>16.3. Споры с юридическими лицами и индивидуальными предпринимателями подлежат рассмотрению в суде по месту жительства/нахождения Лицензиара, если такая договорная подсудность допустима применимым процессуальным законодательством. Если спор неподведомственен арбитражному суду либо договорная подсудность недопустима, спор рассматривается судом, определенным по правилам процессуального законодательства Российской Федерации.</w:t>
      </w:r>
    </w:p>
    <w:p>
      <w:pPr>
        <w:spacing w:after="120" w:line="259" w:lineRule="auto"/>
        <w:ind w:firstLine="425"/>
      </w:pPr>
      <w:r>
        <w:rPr>
          <w:rFonts w:ascii="Times New Roman" w:hAnsi="Times New Roman" w:eastAsia="Times New Roman"/>
          <w:b w:val="0"/>
          <w:i w:val="0"/>
          <w:sz w:val="22"/>
        </w:rPr>
        <w:t>16.4. Если Лицензиат является потребителем, положения о подсудности, ограничении ответственности, возврате, приемке и порядке защиты прав применяются в той мере, в какой они не ухудшают императивные права потребителя.</w:t>
      </w:r>
    </w:p>
    <w:p>
      <w:pPr>
        <w:spacing w:after="120" w:line="259" w:lineRule="auto"/>
        <w:ind w:firstLine="425"/>
      </w:pPr>
      <w:r>
        <w:rPr>
          <w:rFonts w:ascii="Times New Roman" w:hAnsi="Times New Roman" w:eastAsia="Times New Roman"/>
          <w:b w:val="0"/>
          <w:i w:val="0"/>
          <w:sz w:val="22"/>
        </w:rPr>
        <w:t>16.5. Недействительность отдельного положения Договора не влечет недействительности Договора в целом. Стороны обязуются заменить недействительное положение действительным, максимально близким по экономическому и правовому смыслу.</w:t>
      </w:r>
    </w:p>
    <w:p>
      <w:pPr>
        <w:keepNext/>
        <w:spacing w:before="160" w:after="120"/>
        <w:jc w:val="center"/>
      </w:pPr>
      <w:r>
        <w:rPr>
          <w:rFonts w:ascii="Times New Roman" w:hAnsi="Times New Roman" w:eastAsia="Times New Roman"/>
          <w:b/>
          <w:sz w:val="24"/>
        </w:rPr>
        <w:t>17. Реквизиты и подписи сторон</w:t>
      </w:r>
    </w:p>
    <w:tbl>
      <w:tblPr>
        <w:tblStyle w:val="TableGrid"/>
        <w:tblW w:type="auto" w:w="0"/>
        <w:jc w:val="center"/>
        <w:tblLook w:firstColumn="1" w:firstRow="1" w:lastColumn="0" w:lastRow="0" w:noHBand="0" w:noVBand="1" w:val="04A0"/>
      </w:tblPr>
      <w:tblGrid>
        <w:gridCol w:w="4961"/>
        <w:gridCol w:w="4961"/>
      </w:tblGrid>
      <w:tr>
        <w:tc>
          <w:tcPr>
            <w:tcW w:type="dxa" w:w="4961"/>
            <w:vAlign w:val="top"/>
            <w:shd w:fill="D9EAF7"/>
          </w:tcPr>
          <w:p>
            <w:pPr>
              <w:spacing w:after="0"/>
            </w:pPr>
            <w:r/>
            <w:r>
              <w:rPr>
                <w:rFonts w:ascii="Times New Roman" w:hAnsi="Times New Roman" w:eastAsia="Times New Roman"/>
                <w:b/>
                <w:sz w:val="18"/>
              </w:rPr>
              <w:t>Лицензиар</w:t>
            </w:r>
          </w:p>
        </w:tc>
        <w:tc>
          <w:tcPr>
            <w:tcW w:type="dxa" w:w="4961"/>
            <w:vAlign w:val="top"/>
            <w:shd w:fill="D9EAF7"/>
          </w:tcPr>
          <w:p>
            <w:pPr>
              <w:spacing w:after="0"/>
            </w:pPr>
            <w:r/>
            <w:r>
              <w:rPr>
                <w:rFonts w:ascii="Times New Roman" w:hAnsi="Times New Roman" w:eastAsia="Times New Roman"/>
                <w:b/>
                <w:sz w:val="18"/>
              </w:rPr>
              <w:t>Лицензиат</w:t>
            </w:r>
          </w:p>
        </w:tc>
      </w:tr>
      <w:tr>
        <w:tc>
          <w:tcPr>
            <w:tcW w:type="dxa" w:w="4961"/>
            <w:vAlign w:val="top"/>
          </w:tcPr>
          <w:p>
            <w:pPr>
              <w:spacing w:after="0"/>
            </w:pPr>
            <w:r/>
            <w:r>
              <w:rPr>
                <w:rFonts w:ascii="Times New Roman" w:hAnsi="Times New Roman" w:eastAsia="Times New Roman"/>
                <w:b w:val="0"/>
                <w:sz w:val="18"/>
              </w:rPr>
              <w:t>СИДОРЕНКО РОМАН АНАТОЛЬЕВИЧ</w:t>
              <w:br/>
              <w:t>ИНН: 263505932702</w:t>
              <w:br/>
              <w:t>Статус: плательщик налога на профессиональный доход</w:t>
              <w:br/>
              <w:t>Паспорт: ________________________________</w:t>
              <w:br/>
              <w:t>Адрес регистрации: _______________________</w:t>
              <w:br/>
              <w:t>Банковские реквизиты: ____________________</w:t>
              <w:br/>
              <w:t>E-mail: _________________________________</w:t>
              <w:br/>
              <w:t>Телефон: ________________________________</w:t>
            </w:r>
          </w:p>
        </w:tc>
        <w:tc>
          <w:tcPr>
            <w:tcW w:type="dxa" w:w="4961"/>
            <w:vAlign w:val="top"/>
          </w:tcPr>
          <w:p>
            <w:pPr>
              <w:spacing w:after="0"/>
            </w:pPr>
            <w:r/>
            <w:r>
              <w:rPr>
                <w:rFonts w:ascii="Times New Roman" w:hAnsi="Times New Roman" w:eastAsia="Times New Roman"/>
                <w:b w:val="0"/>
                <w:sz w:val="18"/>
              </w:rPr>
              <w:t>Наименование/Ф.И.О.: ____________________</w:t>
              <w:br/>
              <w:t>ИНН/КПП: ______________________________</w:t>
              <w:br/>
              <w:t>ОГРН/ОГРНИП/паспорт: __________________</w:t>
              <w:br/>
              <w:t>Адрес: __________________________________</w:t>
              <w:br/>
              <w:t>Банковские реквизиты: ____________________</w:t>
              <w:br/>
              <w:t>E-mail для уведомлений: __________________</w:t>
              <w:br/>
              <w:t>Телефон: ________________________________</w:t>
            </w:r>
          </w:p>
        </w:tc>
      </w:tr>
      <w:tr>
        <w:tc>
          <w:tcPr>
            <w:tcW w:type="dxa" w:w="4961"/>
            <w:vAlign w:val="top"/>
          </w:tcPr>
          <w:p>
            <w:pPr>
              <w:spacing w:after="0"/>
            </w:pPr>
            <w:r/>
            <w:r>
              <w:rPr>
                <w:rFonts w:ascii="Times New Roman" w:hAnsi="Times New Roman" w:eastAsia="Times New Roman"/>
                <w:b w:val="0"/>
                <w:sz w:val="18"/>
              </w:rPr>
              <w:t>Подпись: __________________ / Р.А. Сидоренко /</w:t>
            </w:r>
          </w:p>
        </w:tc>
        <w:tc>
          <w:tcPr>
            <w:tcW w:type="dxa" w:w="4961"/>
            <w:vAlign w:val="top"/>
          </w:tcPr>
          <w:p>
            <w:pPr>
              <w:spacing w:after="0"/>
            </w:pPr>
            <w:r/>
            <w:r>
              <w:rPr>
                <w:rFonts w:ascii="Times New Roman" w:hAnsi="Times New Roman" w:eastAsia="Times New Roman"/>
                <w:b w:val="0"/>
                <w:sz w:val="18"/>
              </w:rPr>
              <w:t>Подпись: __________________ / _____________ /</w:t>
            </w:r>
          </w:p>
        </w:tc>
      </w:tr>
    </w:tbl>
    <w:p>
      <w:r>
        <w:br w:type="page"/>
      </w:r>
    </w:p>
    <w:p>
      <w:pPr>
        <w:keepNext/>
        <w:spacing w:before="160" w:after="120"/>
        <w:jc w:val="center"/>
      </w:pPr>
      <w:r>
        <w:rPr>
          <w:rFonts w:ascii="Times New Roman" w:hAnsi="Times New Roman" w:eastAsia="Times New Roman"/>
          <w:b/>
          <w:sz w:val="24"/>
        </w:rPr>
        <w:t>Приложение № 1. Лицензионные параметры</w:t>
      </w:r>
    </w:p>
    <w:tbl>
      <w:tblPr>
        <w:tblStyle w:val="TableGrid"/>
        <w:tblW w:type="auto" w:w="0"/>
        <w:jc w:val="center"/>
        <w:tblLook w:firstColumn="1" w:firstRow="1" w:lastColumn="0" w:lastRow="0" w:noHBand="0" w:noVBand="1" w:val="04A0"/>
      </w:tblPr>
      <w:tblGrid>
        <w:gridCol w:w="4961"/>
        <w:gridCol w:w="4961"/>
      </w:tblGrid>
      <w:tr>
        <w:tc>
          <w:tcPr>
            <w:tcW w:type="dxa" w:w="4961"/>
            <w:vAlign w:val="top"/>
            <w:shd w:fill="D9EAF7"/>
          </w:tcPr>
          <w:p>
            <w:pPr>
              <w:spacing w:after="0"/>
            </w:pPr>
            <w:r/>
            <w:r>
              <w:rPr>
                <w:rFonts w:ascii="Times New Roman" w:hAnsi="Times New Roman" w:eastAsia="Times New Roman"/>
                <w:b/>
                <w:sz w:val="18"/>
              </w:rPr>
              <w:t>Параметр</w:t>
            </w:r>
          </w:p>
        </w:tc>
        <w:tc>
          <w:tcPr>
            <w:tcW w:type="dxa" w:w="4961"/>
            <w:vAlign w:val="top"/>
            <w:shd w:fill="D9EAF7"/>
          </w:tcPr>
          <w:p>
            <w:pPr>
              <w:spacing w:after="0"/>
            </w:pPr>
            <w:r/>
            <w:r>
              <w:rPr>
                <w:rFonts w:ascii="Times New Roman" w:hAnsi="Times New Roman" w:eastAsia="Times New Roman"/>
                <w:b/>
                <w:sz w:val="18"/>
              </w:rPr>
              <w:t>Значение / заполняется сторонами</w:t>
            </w:r>
          </w:p>
        </w:tc>
      </w:tr>
      <w:tr>
        <w:tc>
          <w:tcPr>
            <w:tcW w:type="dxa" w:w="4961"/>
            <w:vAlign w:val="top"/>
          </w:tcPr>
          <w:p>
            <w:pPr>
              <w:spacing w:after="0"/>
            </w:pPr>
            <w:r/>
            <w:r>
              <w:rPr>
                <w:rFonts w:ascii="Times New Roman" w:hAnsi="Times New Roman" w:eastAsia="Times New Roman"/>
                <w:b w:val="0"/>
                <w:sz w:val="18"/>
              </w:rPr>
              <w:t>Программа</w:t>
            </w:r>
          </w:p>
        </w:tc>
        <w:tc>
          <w:tcPr>
            <w:tcW w:type="dxa" w:w="4961"/>
            <w:vAlign w:val="top"/>
          </w:tcPr>
          <w:p>
            <w:pPr>
              <w:spacing w:after="0"/>
            </w:pPr>
            <w:r/>
            <w:r>
              <w:rPr>
                <w:rFonts w:ascii="Times New Roman" w:hAnsi="Times New Roman" w:eastAsia="Times New Roman"/>
                <w:b w:val="0"/>
                <w:sz w:val="18"/>
              </w:rPr>
              <w:t>RSG (Revit Server Guard / RSG Admin Panel)</w:t>
            </w:r>
          </w:p>
        </w:tc>
      </w:tr>
      <w:tr>
        <w:tc>
          <w:tcPr>
            <w:tcW w:type="dxa" w:w="4961"/>
            <w:vAlign w:val="top"/>
          </w:tcPr>
          <w:p>
            <w:pPr>
              <w:spacing w:after="0"/>
            </w:pPr>
            <w:r/>
            <w:r>
              <w:rPr>
                <w:rFonts w:ascii="Times New Roman" w:hAnsi="Times New Roman" w:eastAsia="Times New Roman"/>
                <w:b w:val="0"/>
                <w:sz w:val="18"/>
              </w:rPr>
              <w:t>Краткое назначение</w:t>
            </w:r>
          </w:p>
        </w:tc>
        <w:tc>
          <w:tcPr>
            <w:tcW w:type="dxa" w:w="4961"/>
            <w:vAlign w:val="top"/>
          </w:tcPr>
          <w:p>
            <w:pPr>
              <w:spacing w:after="0"/>
            </w:pPr>
            <w:r/>
            <w:r>
              <w:rPr>
                <w:rFonts w:ascii="Times New Roman" w:hAnsi="Times New Roman" w:eastAsia="Times New Roman"/>
                <w:b w:val="0"/>
                <w:sz w:val="18"/>
              </w:rPr>
              <w:t>административный модуль для Revit Server 2021/2022/2023/2024/2025/2026/2027, предназначенный для централизованного управления доступом, ролями, разделами, аудитом, резервным копированием и proxy-контуром Revit Server</w:t>
            </w:r>
          </w:p>
        </w:tc>
      </w:tr>
      <w:tr>
        <w:tc>
          <w:tcPr>
            <w:tcW w:type="dxa" w:w="4961"/>
            <w:vAlign w:val="top"/>
          </w:tcPr>
          <w:p>
            <w:pPr>
              <w:spacing w:after="0"/>
            </w:pPr>
            <w:r/>
            <w:r>
              <w:rPr>
                <w:rFonts w:ascii="Times New Roman" w:hAnsi="Times New Roman" w:eastAsia="Times New Roman"/>
                <w:b w:val="0"/>
                <w:sz w:val="18"/>
              </w:rPr>
              <w:t>Модель лицензии</w:t>
            </w:r>
          </w:p>
        </w:tc>
        <w:tc>
          <w:tcPr>
            <w:tcW w:type="dxa" w:w="4961"/>
            <w:vAlign w:val="top"/>
          </w:tcPr>
          <w:p>
            <w:pPr>
              <w:spacing w:after="0"/>
            </w:pPr>
            <w:r/>
            <w:r>
              <w:rPr>
                <w:rFonts w:ascii="Times New Roman" w:hAnsi="Times New Roman" w:eastAsia="Times New Roman"/>
                <w:b w:val="0"/>
                <w:sz w:val="18"/>
              </w:rPr>
              <w:t>Подписка / временная простая неисключительная лицензия</w:t>
            </w:r>
          </w:p>
        </w:tc>
      </w:tr>
      <w:tr>
        <w:tc>
          <w:tcPr>
            <w:tcW w:type="dxa" w:w="4961"/>
            <w:vAlign w:val="top"/>
          </w:tcPr>
          <w:p>
            <w:pPr>
              <w:spacing w:after="0"/>
            </w:pPr>
            <w:r/>
            <w:r>
              <w:rPr>
                <w:rFonts w:ascii="Times New Roman" w:hAnsi="Times New Roman" w:eastAsia="Times New Roman"/>
                <w:b w:val="0"/>
                <w:sz w:val="18"/>
              </w:rPr>
              <w:t>Редакция / версия / сборка</w:t>
            </w:r>
          </w:p>
        </w:tc>
        <w:tc>
          <w:tcPr>
            <w:tcW w:type="dxa" w:w="4961"/>
            <w:vAlign w:val="top"/>
          </w:tcPr>
          <w:p>
            <w:pPr>
              <w:spacing w:after="0"/>
            </w:pPr>
            <w:r/>
            <w:r>
              <w:rPr>
                <w:rFonts w:ascii="Times New Roman" w:hAnsi="Times New Roman" w:eastAsia="Times New Roman"/>
                <w:b w:val="0"/>
                <w:sz w:val="18"/>
              </w:rPr>
              <w:t>[указать редакцию, версию, build, дату сборки]</w:t>
            </w:r>
          </w:p>
        </w:tc>
      </w:tr>
      <w:tr>
        <w:tc>
          <w:tcPr>
            <w:tcW w:type="dxa" w:w="4961"/>
            <w:vAlign w:val="top"/>
          </w:tcPr>
          <w:p>
            <w:pPr>
              <w:spacing w:after="0"/>
            </w:pPr>
            <w:r/>
            <w:r>
              <w:rPr>
                <w:rFonts w:ascii="Times New Roman" w:hAnsi="Times New Roman" w:eastAsia="Times New Roman"/>
                <w:b w:val="0"/>
                <w:sz w:val="18"/>
              </w:rPr>
              <w:t>Покрываемые версии Revit Server</w:t>
            </w:r>
          </w:p>
        </w:tc>
        <w:tc>
          <w:tcPr>
            <w:tcW w:type="dxa" w:w="4961"/>
            <w:vAlign w:val="top"/>
          </w:tcPr>
          <w:p>
            <w:pPr>
              <w:spacing w:after="0"/>
            </w:pPr>
            <w:r/>
            <w:r>
              <w:rPr>
                <w:rFonts w:ascii="Times New Roman" w:hAnsi="Times New Roman" w:eastAsia="Times New Roman"/>
                <w:b w:val="0"/>
                <w:sz w:val="18"/>
              </w:rPr>
              <w:t>2021/2022/2023/2024/2025/2026/2027 или иной перечень: [указать]</w:t>
            </w:r>
          </w:p>
        </w:tc>
      </w:tr>
      <w:tr>
        <w:tc>
          <w:tcPr>
            <w:tcW w:type="dxa" w:w="4961"/>
            <w:vAlign w:val="top"/>
          </w:tcPr>
          <w:p>
            <w:pPr>
              <w:spacing w:after="0"/>
            </w:pPr>
            <w:r/>
            <w:r>
              <w:rPr>
                <w:rFonts w:ascii="Times New Roman" w:hAnsi="Times New Roman" w:eastAsia="Times New Roman"/>
                <w:b w:val="0"/>
                <w:sz w:val="18"/>
              </w:rPr>
              <w:t>Количество production-серверов</w:t>
            </w:r>
          </w:p>
        </w:tc>
        <w:tc>
          <w:tcPr>
            <w:tcW w:type="dxa" w:w="4961"/>
            <w:vAlign w:val="top"/>
          </w:tcPr>
          <w:p>
            <w:pPr>
              <w:spacing w:after="0"/>
            </w:pPr>
            <w:r/>
            <w:r>
              <w:rPr>
                <w:rFonts w:ascii="Times New Roman" w:hAnsi="Times New Roman" w:eastAsia="Times New Roman"/>
                <w:b w:val="0"/>
                <w:sz w:val="18"/>
              </w:rPr>
              <w:t>[например: 1]</w:t>
            </w:r>
          </w:p>
        </w:tc>
      </w:tr>
      <w:tr>
        <w:tc>
          <w:tcPr>
            <w:tcW w:type="dxa" w:w="4961"/>
            <w:vAlign w:val="top"/>
          </w:tcPr>
          <w:p>
            <w:pPr>
              <w:spacing w:after="0"/>
            </w:pPr>
            <w:r/>
            <w:r>
              <w:rPr>
                <w:rFonts w:ascii="Times New Roman" w:hAnsi="Times New Roman" w:eastAsia="Times New Roman"/>
                <w:b w:val="0"/>
                <w:sz w:val="18"/>
              </w:rPr>
              <w:t>Количество test/dev-серверов</w:t>
            </w:r>
          </w:p>
        </w:tc>
        <w:tc>
          <w:tcPr>
            <w:tcW w:type="dxa" w:w="4961"/>
            <w:vAlign w:val="top"/>
          </w:tcPr>
          <w:p>
            <w:pPr>
              <w:spacing w:after="0"/>
            </w:pPr>
            <w:r/>
            <w:r>
              <w:rPr>
                <w:rFonts w:ascii="Times New Roman" w:hAnsi="Times New Roman" w:eastAsia="Times New Roman"/>
                <w:b w:val="0"/>
                <w:sz w:val="18"/>
              </w:rPr>
              <w:t>[например: 1 тестовый без production-использования]</w:t>
            </w:r>
          </w:p>
        </w:tc>
      </w:tr>
      <w:tr>
        <w:tc>
          <w:tcPr>
            <w:tcW w:type="dxa" w:w="4961"/>
            <w:vAlign w:val="top"/>
          </w:tcPr>
          <w:p>
            <w:pPr>
              <w:spacing w:after="0"/>
            </w:pPr>
            <w:r/>
            <w:r>
              <w:rPr>
                <w:rFonts w:ascii="Times New Roman" w:hAnsi="Times New Roman" w:eastAsia="Times New Roman"/>
                <w:b w:val="0"/>
                <w:sz w:val="18"/>
              </w:rPr>
              <w:t>Количество администраторов / пользователей</w:t>
            </w:r>
          </w:p>
        </w:tc>
        <w:tc>
          <w:tcPr>
            <w:tcW w:type="dxa" w:w="4961"/>
            <w:vAlign w:val="top"/>
          </w:tcPr>
          <w:p>
            <w:pPr>
              <w:spacing w:after="0"/>
            </w:pPr>
            <w:r/>
            <w:r>
              <w:rPr>
                <w:rFonts w:ascii="Times New Roman" w:hAnsi="Times New Roman" w:eastAsia="Times New Roman"/>
                <w:b w:val="0"/>
                <w:sz w:val="18"/>
              </w:rPr>
              <w:t>[указать лимит]</w:t>
            </w:r>
          </w:p>
        </w:tc>
      </w:tr>
      <w:tr>
        <w:tc>
          <w:tcPr>
            <w:tcW w:type="dxa" w:w="4961"/>
            <w:vAlign w:val="top"/>
          </w:tcPr>
          <w:p>
            <w:pPr>
              <w:spacing w:after="0"/>
            </w:pPr>
            <w:r/>
            <w:r>
              <w:rPr>
                <w:rFonts w:ascii="Times New Roman" w:hAnsi="Times New Roman" w:eastAsia="Times New Roman"/>
                <w:b w:val="0"/>
                <w:sz w:val="18"/>
              </w:rPr>
              <w:t>Количество страновых контуров / компаний группы</w:t>
            </w:r>
          </w:p>
        </w:tc>
        <w:tc>
          <w:tcPr>
            <w:tcW w:type="dxa" w:w="4961"/>
            <w:vAlign w:val="top"/>
          </w:tcPr>
          <w:p>
            <w:pPr>
              <w:spacing w:after="0"/>
            </w:pPr>
            <w:r/>
            <w:r>
              <w:rPr>
                <w:rFonts w:ascii="Times New Roman" w:hAnsi="Times New Roman" w:eastAsia="Times New Roman"/>
                <w:b w:val="0"/>
                <w:sz w:val="18"/>
              </w:rPr>
              <w:t>[указать, если применимо]</w:t>
            </w:r>
          </w:p>
        </w:tc>
      </w:tr>
      <w:tr>
        <w:tc>
          <w:tcPr>
            <w:tcW w:type="dxa" w:w="4961"/>
            <w:vAlign w:val="top"/>
          </w:tcPr>
          <w:p>
            <w:pPr>
              <w:spacing w:after="0"/>
            </w:pPr>
            <w:r/>
            <w:r>
              <w:rPr>
                <w:rFonts w:ascii="Times New Roman" w:hAnsi="Times New Roman" w:eastAsia="Times New Roman"/>
                <w:b w:val="0"/>
                <w:sz w:val="18"/>
              </w:rPr>
              <w:t>Территория использования</w:t>
            </w:r>
          </w:p>
        </w:tc>
        <w:tc>
          <w:tcPr>
            <w:tcW w:type="dxa" w:w="4961"/>
            <w:vAlign w:val="top"/>
          </w:tcPr>
          <w:p>
            <w:pPr>
              <w:spacing w:after="0"/>
            </w:pPr>
            <w:r/>
            <w:r>
              <w:rPr>
                <w:rFonts w:ascii="Times New Roman" w:hAnsi="Times New Roman" w:eastAsia="Times New Roman"/>
                <w:b w:val="0"/>
                <w:sz w:val="18"/>
              </w:rPr>
              <w:t>РФ и иные территории при соблюдении Договора и применимого права</w:t>
            </w:r>
          </w:p>
        </w:tc>
      </w:tr>
      <w:tr>
        <w:tc>
          <w:tcPr>
            <w:tcW w:type="dxa" w:w="4961"/>
            <w:vAlign w:val="top"/>
          </w:tcPr>
          <w:p>
            <w:pPr>
              <w:spacing w:after="0"/>
            </w:pPr>
            <w:r/>
            <w:r>
              <w:rPr>
                <w:rFonts w:ascii="Times New Roman" w:hAnsi="Times New Roman" w:eastAsia="Times New Roman"/>
                <w:b w:val="0"/>
                <w:sz w:val="18"/>
              </w:rPr>
              <w:t>Срок лицензии</w:t>
            </w:r>
          </w:p>
        </w:tc>
        <w:tc>
          <w:tcPr>
            <w:tcW w:type="dxa" w:w="4961"/>
            <w:vAlign w:val="top"/>
          </w:tcPr>
          <w:p>
            <w:pPr>
              <w:spacing w:after="0"/>
            </w:pPr>
            <w:r/>
            <w:r>
              <w:rPr>
                <w:rFonts w:ascii="Times New Roman" w:hAnsi="Times New Roman" w:eastAsia="Times New Roman"/>
                <w:b w:val="0"/>
                <w:sz w:val="18"/>
              </w:rPr>
              <w:t>[1 месяц / 3 месяца / 12 месяцев / иной период] с даты активации или иной даты: [указать]</w:t>
            </w:r>
          </w:p>
        </w:tc>
      </w:tr>
      <w:tr>
        <w:tc>
          <w:tcPr>
            <w:tcW w:type="dxa" w:w="4961"/>
            <w:vAlign w:val="top"/>
          </w:tcPr>
          <w:p>
            <w:pPr>
              <w:spacing w:after="0"/>
            </w:pPr>
            <w:r/>
            <w:r>
              <w:rPr>
                <w:rFonts w:ascii="Times New Roman" w:hAnsi="Times New Roman" w:eastAsia="Times New Roman"/>
                <w:b w:val="0"/>
                <w:sz w:val="18"/>
              </w:rPr>
              <w:t>Техническая поддержка</w:t>
            </w:r>
          </w:p>
        </w:tc>
        <w:tc>
          <w:tcPr>
            <w:tcW w:type="dxa" w:w="4961"/>
            <w:vAlign w:val="top"/>
          </w:tcPr>
          <w:p>
            <w:pPr>
              <w:spacing w:after="0"/>
            </w:pPr>
            <w:r/>
            <w:r>
              <w:rPr>
                <w:rFonts w:ascii="Times New Roman" w:hAnsi="Times New Roman" w:eastAsia="Times New Roman"/>
                <w:b w:val="0"/>
                <w:sz w:val="18"/>
              </w:rPr>
              <w:t>[не включена / включена по e-mail / иной уровень поддержки]</w:t>
            </w:r>
          </w:p>
        </w:tc>
      </w:tr>
      <w:tr>
        <w:tc>
          <w:tcPr>
            <w:tcW w:type="dxa" w:w="4961"/>
            <w:vAlign w:val="top"/>
          </w:tcPr>
          <w:p>
            <w:pPr>
              <w:spacing w:after="0"/>
            </w:pPr>
            <w:r/>
            <w:r>
              <w:rPr>
                <w:rFonts w:ascii="Times New Roman" w:hAnsi="Times New Roman" w:eastAsia="Times New Roman"/>
                <w:b w:val="0"/>
                <w:sz w:val="18"/>
              </w:rPr>
              <w:t>Обновления</w:t>
            </w:r>
          </w:p>
        </w:tc>
        <w:tc>
          <w:tcPr>
            <w:tcW w:type="dxa" w:w="4961"/>
            <w:vAlign w:val="top"/>
          </w:tcPr>
          <w:p>
            <w:pPr>
              <w:spacing w:after="0"/>
            </w:pPr>
            <w:r/>
            <w:r>
              <w:rPr>
                <w:rFonts w:ascii="Times New Roman" w:hAnsi="Times New Roman" w:eastAsia="Times New Roman"/>
                <w:b w:val="0"/>
                <w:sz w:val="18"/>
              </w:rPr>
              <w:t>Включены в оплаченный период подписки в объеме, определяемом Лицензиаром, если иное не указано</w:t>
            </w:r>
          </w:p>
        </w:tc>
      </w:tr>
      <w:tr>
        <w:tc>
          <w:tcPr>
            <w:tcW w:type="dxa" w:w="4961"/>
            <w:vAlign w:val="top"/>
          </w:tcPr>
          <w:p>
            <w:pPr>
              <w:spacing w:after="0"/>
            </w:pPr>
            <w:r/>
            <w:r>
              <w:rPr>
                <w:rFonts w:ascii="Times New Roman" w:hAnsi="Times New Roman" w:eastAsia="Times New Roman"/>
                <w:b w:val="0"/>
                <w:sz w:val="18"/>
              </w:rPr>
              <w:t>Стоимость</w:t>
            </w:r>
          </w:p>
        </w:tc>
        <w:tc>
          <w:tcPr>
            <w:tcW w:type="dxa" w:w="4961"/>
            <w:vAlign w:val="top"/>
          </w:tcPr>
          <w:p>
            <w:pPr>
              <w:spacing w:after="0"/>
            </w:pPr>
            <w:r/>
            <w:r>
              <w:rPr>
                <w:rFonts w:ascii="Times New Roman" w:hAnsi="Times New Roman" w:eastAsia="Times New Roman"/>
                <w:b w:val="0"/>
                <w:sz w:val="18"/>
              </w:rPr>
              <w:t>[указать сумму] рублей, без НДС в связи с применением НПД</w:t>
            </w:r>
          </w:p>
        </w:tc>
      </w:tr>
      <w:tr>
        <w:tc>
          <w:tcPr>
            <w:tcW w:type="dxa" w:w="4961"/>
            <w:vAlign w:val="top"/>
          </w:tcPr>
          <w:p>
            <w:pPr>
              <w:spacing w:after="0"/>
            </w:pPr>
            <w:r/>
            <w:r>
              <w:rPr>
                <w:rFonts w:ascii="Times New Roman" w:hAnsi="Times New Roman" w:eastAsia="Times New Roman"/>
                <w:b w:val="0"/>
                <w:sz w:val="18"/>
              </w:rPr>
              <w:t>Порядок оплаты</w:t>
            </w:r>
          </w:p>
        </w:tc>
        <w:tc>
          <w:tcPr>
            <w:tcW w:type="dxa" w:w="4961"/>
            <w:vAlign w:val="top"/>
          </w:tcPr>
          <w:p>
            <w:pPr>
              <w:spacing w:after="0"/>
            </w:pPr>
            <w:r/>
            <w:r>
              <w:rPr>
                <w:rFonts w:ascii="Times New Roman" w:hAnsi="Times New Roman" w:eastAsia="Times New Roman"/>
                <w:b w:val="0"/>
                <w:sz w:val="18"/>
              </w:rPr>
              <w:t>100% предоплата, если иное не указано в счете</w:t>
            </w:r>
          </w:p>
        </w:tc>
      </w:tr>
      <w:tr>
        <w:tc>
          <w:tcPr>
            <w:tcW w:type="dxa" w:w="4961"/>
            <w:vAlign w:val="top"/>
          </w:tcPr>
          <w:p>
            <w:pPr>
              <w:spacing w:after="0"/>
            </w:pPr>
            <w:r/>
            <w:r>
              <w:rPr>
                <w:rFonts w:ascii="Times New Roman" w:hAnsi="Times New Roman" w:eastAsia="Times New Roman"/>
                <w:b w:val="0"/>
                <w:sz w:val="18"/>
              </w:rPr>
              <w:t>Особые условия</w:t>
            </w:r>
          </w:p>
        </w:tc>
        <w:tc>
          <w:tcPr>
            <w:tcW w:type="dxa" w:w="4961"/>
            <w:vAlign w:val="top"/>
          </w:tcPr>
          <w:p>
            <w:pPr>
              <w:spacing w:after="0"/>
            </w:pPr>
            <w:r/>
            <w:r>
              <w:rPr>
                <w:rFonts w:ascii="Times New Roman" w:hAnsi="Times New Roman" w:eastAsia="Times New Roman"/>
                <w:b w:val="0"/>
                <w:sz w:val="18"/>
              </w:rPr>
              <w:t>[указать особые условия, ограничения, допущения, сведения о внедрении]</w:t>
            </w:r>
          </w:p>
        </w:tc>
      </w:tr>
    </w:tbl>
    <w:p>
      <w:pPr>
        <w:spacing w:after="120" w:line="259" w:lineRule="auto"/>
      </w:pPr>
      <w:r>
        <w:rPr>
          <w:rFonts w:ascii="Times New Roman" w:hAnsi="Times New Roman" w:eastAsia="Times New Roman"/>
          <w:b/>
          <w:i w:val="0"/>
          <w:sz w:val="22"/>
        </w:rPr>
        <w:t>Подписи сторон:</w:t>
      </w:r>
    </w:p>
    <w:p>
      <w:pPr>
        <w:spacing w:after="120" w:line="259" w:lineRule="auto"/>
      </w:pPr>
      <w:r>
        <w:rPr>
          <w:rFonts w:ascii="Times New Roman" w:hAnsi="Times New Roman" w:eastAsia="Times New Roman"/>
          <w:b w:val="0"/>
          <w:i w:val="0"/>
          <w:sz w:val="22"/>
        </w:rPr>
        <w:t>Лицензиар: __________________ / Р.А. Сидоренко /        Лицензиат: __________________ / _____________ /</w:t>
      </w:r>
    </w:p>
    <w:p>
      <w:r>
        <w:br w:type="page"/>
      </w:r>
    </w:p>
    <w:p>
      <w:pPr>
        <w:keepNext/>
        <w:spacing w:before="160" w:after="120"/>
        <w:jc w:val="center"/>
      </w:pPr>
      <w:r>
        <w:rPr>
          <w:rFonts w:ascii="Times New Roman" w:hAnsi="Times New Roman" w:eastAsia="Times New Roman"/>
          <w:b/>
          <w:sz w:val="24"/>
        </w:rPr>
        <w:t>Приложение № 2. Форма акта предоставления права использования</w:t>
      </w:r>
    </w:p>
    <w:p>
      <w:pPr>
        <w:spacing w:after="120" w:line="259" w:lineRule="auto"/>
        <w:jc w:val="center"/>
      </w:pPr>
      <w:r>
        <w:rPr>
          <w:rFonts w:ascii="Times New Roman" w:hAnsi="Times New Roman" w:eastAsia="Times New Roman"/>
          <w:b/>
          <w:i w:val="0"/>
          <w:sz w:val="22"/>
        </w:rPr>
        <w:t>АКТ № ____ предоставления права использования программы для ЭВМ</w:t>
      </w:r>
    </w:p>
    <w:p>
      <w:pPr>
        <w:spacing w:after="120" w:line="259" w:lineRule="auto"/>
      </w:pPr>
      <w:r>
        <w:rPr>
          <w:rFonts w:ascii="Times New Roman" w:hAnsi="Times New Roman" w:eastAsia="Times New Roman"/>
          <w:b w:val="0"/>
          <w:i w:val="0"/>
          <w:sz w:val="22"/>
        </w:rPr>
        <w:t>г. ____________                                                                 «___» __________ 20__ г.</w:t>
      </w:r>
    </w:p>
    <w:p>
      <w:pPr>
        <w:spacing w:after="120" w:line="259" w:lineRule="auto"/>
        <w:ind w:firstLine="425"/>
      </w:pPr>
      <w:r>
        <w:rPr>
          <w:rFonts w:ascii="Times New Roman" w:hAnsi="Times New Roman" w:eastAsia="Times New Roman"/>
          <w:b w:val="0"/>
          <w:i w:val="0"/>
          <w:sz w:val="22"/>
        </w:rPr>
        <w:t>СИДОРЕНКО РОМАН АНАТОЛЬЕВИЧ, ИНН 263505932702, именуемый «Лицензиар», с одной стороны, и ________________________________, именуемый «Лицензиат», с другой стороны, составили настоящий акт о нижеследующем:</w:t>
      </w:r>
    </w:p>
    <w:p>
      <w:pPr>
        <w:spacing w:after="60"/>
        <w:ind w:left="425" w:hanging="255"/>
      </w:pPr>
      <w:r>
        <w:rPr>
          <w:rFonts w:ascii="Times New Roman" w:hAnsi="Times New Roman" w:eastAsia="Times New Roman"/>
          <w:sz w:val="22"/>
        </w:rPr>
        <w:t>1. Лицензиар предоставил, а Лицензиат получил право использования программы RSG (Revit Server Guard / RSG Admin Panel) на условиях Договора № ____ от «___» _________ 20__ г. и Приложения № 1 к нему.</w:t>
      </w:r>
    </w:p>
    <w:p>
      <w:pPr>
        <w:spacing w:after="60"/>
        <w:ind w:left="425" w:hanging="255"/>
      </w:pPr>
      <w:r>
        <w:rPr>
          <w:rFonts w:ascii="Times New Roman" w:hAnsi="Times New Roman" w:eastAsia="Times New Roman"/>
          <w:sz w:val="22"/>
        </w:rPr>
        <w:t>2. Модель лицензии: подписка / временная простая неисключительная лицензия.</w:t>
      </w:r>
    </w:p>
    <w:p>
      <w:pPr>
        <w:spacing w:after="60"/>
        <w:ind w:left="425" w:hanging="255"/>
      </w:pPr>
      <w:r>
        <w:rPr>
          <w:rFonts w:ascii="Times New Roman" w:hAnsi="Times New Roman" w:eastAsia="Times New Roman"/>
          <w:sz w:val="22"/>
        </w:rPr>
        <w:t>3. Лицензионный ключ / файл лицензии / ссылка на доступ: ________________________________.</w:t>
      </w:r>
    </w:p>
    <w:p>
      <w:pPr>
        <w:spacing w:after="60"/>
        <w:ind w:left="425" w:hanging="255"/>
      </w:pPr>
      <w:r>
        <w:rPr>
          <w:rFonts w:ascii="Times New Roman" w:hAnsi="Times New Roman" w:eastAsia="Times New Roman"/>
          <w:sz w:val="22"/>
        </w:rPr>
        <w:t>4. Версия / сборка / редакция: ________________________________.</w:t>
      </w:r>
    </w:p>
    <w:p>
      <w:pPr>
        <w:spacing w:after="60"/>
        <w:ind w:left="425" w:hanging="255"/>
      </w:pPr>
      <w:r>
        <w:rPr>
          <w:rFonts w:ascii="Times New Roman" w:hAnsi="Times New Roman" w:eastAsia="Times New Roman"/>
          <w:sz w:val="22"/>
        </w:rPr>
        <w:t>5. Дата предоставления доступа / активации: «___» __________ 20__ г.</w:t>
      </w:r>
    </w:p>
    <w:p>
      <w:pPr>
        <w:spacing w:after="60"/>
        <w:ind w:left="425" w:hanging="255"/>
      </w:pPr>
      <w:r>
        <w:rPr>
          <w:rFonts w:ascii="Times New Roman" w:hAnsi="Times New Roman" w:eastAsia="Times New Roman"/>
          <w:sz w:val="22"/>
        </w:rPr>
        <w:t>6. Лицензиат подтверждает получение ключа/доступа/дистрибутива, отсутствие претензий к факту предоставления права использования и понимание, что исключительное право, исходный код и право распространения Программы не передавались.</w:t>
      </w:r>
    </w:p>
    <w:p>
      <w:pPr>
        <w:spacing w:after="60"/>
        <w:ind w:left="425" w:hanging="255"/>
      </w:pPr>
      <w:r>
        <w:rPr>
          <w:rFonts w:ascii="Times New Roman" w:hAnsi="Times New Roman" w:eastAsia="Times New Roman"/>
          <w:sz w:val="22"/>
        </w:rPr>
        <w:t>7. Настоящий акт не подтверждает выполнение работ по установке, внедрению, настройке инфраструктуры, обучению или технической поддержке, если такие работы/услуги не оформлены отдельным актом.</w:t>
      </w:r>
    </w:p>
    <w:p>
      <w:pPr>
        <w:spacing w:after="120" w:line="259" w:lineRule="auto"/>
      </w:pPr>
      <w:r>
        <w:rPr>
          <w:rFonts w:ascii="Times New Roman" w:hAnsi="Times New Roman" w:eastAsia="Times New Roman"/>
          <w:b/>
          <w:i w:val="0"/>
          <w:sz w:val="22"/>
        </w:rPr>
        <w:t>Подписи сторон:</w:t>
      </w:r>
    </w:p>
    <w:p>
      <w:pPr>
        <w:spacing w:after="120" w:line="259" w:lineRule="auto"/>
      </w:pPr>
      <w:r>
        <w:rPr>
          <w:rFonts w:ascii="Times New Roman" w:hAnsi="Times New Roman" w:eastAsia="Times New Roman"/>
          <w:b w:val="0"/>
          <w:i w:val="0"/>
          <w:sz w:val="22"/>
        </w:rPr>
        <w:t>Лицензиар: __________________ / Р.А. Сидоренко /        Лицензиат: __________________ / _____________ /</w:t>
      </w:r>
    </w:p>
    <w:p>
      <w:r>
        <w:br w:type="page"/>
      </w:r>
    </w:p>
    <w:p>
      <w:pPr>
        <w:keepNext/>
        <w:spacing w:before="160" w:after="120"/>
        <w:jc w:val="center"/>
      </w:pPr>
      <w:r>
        <w:rPr>
          <w:rFonts w:ascii="Times New Roman" w:hAnsi="Times New Roman" w:eastAsia="Times New Roman"/>
          <w:b/>
          <w:sz w:val="24"/>
        </w:rPr>
        <w:t>Приложение № 3. Минимальные обязанности Лицензиата перед вводом в эксплуатацию</w:t>
      </w:r>
    </w:p>
    <w:p>
      <w:pPr>
        <w:spacing w:after="120" w:line="259" w:lineRule="auto"/>
        <w:ind w:firstLine="425"/>
      </w:pPr>
      <w:r>
        <w:rPr>
          <w:rFonts w:ascii="Times New Roman" w:hAnsi="Times New Roman" w:eastAsia="Times New Roman"/>
          <w:b w:val="0"/>
          <w:i w:val="0"/>
          <w:sz w:val="22"/>
        </w:rPr>
        <w:t>Настоящий список является обязанностью Лицензиата, если иное прямо не принято Лицензиаром по отдельному договору внедрения или сопровождения:</w:t>
      </w:r>
    </w:p>
    <w:p>
      <w:pPr>
        <w:spacing w:after="60"/>
        <w:ind w:left="425" w:hanging="255"/>
      </w:pPr>
      <w:r>
        <w:rPr>
          <w:rFonts w:ascii="Times New Roman" w:hAnsi="Times New Roman" w:eastAsia="Times New Roman"/>
          <w:sz w:val="22"/>
        </w:rPr>
        <w:t>1. Проверить наличие законных лицензий Autodesk/Revit/Revit Server и иных сторонних компонентов.</w:t>
      </w:r>
    </w:p>
    <w:p>
      <w:pPr>
        <w:spacing w:after="60"/>
        <w:ind w:left="425" w:hanging="255"/>
      </w:pPr>
      <w:r>
        <w:rPr>
          <w:rFonts w:ascii="Times New Roman" w:hAnsi="Times New Roman" w:eastAsia="Times New Roman"/>
          <w:sz w:val="22"/>
        </w:rPr>
        <w:t>2. Проверить соответствие сервера техническим требованиям: Windows Server, .NET 8 Runtime/Hosting Bundle, .NET Framework 4.8.1 для net.tcp proxy, права локального администратора, доступность ProgramData/RSG.</w:t>
      </w:r>
    </w:p>
    <w:p>
      <w:pPr>
        <w:spacing w:after="60"/>
        <w:ind w:left="425" w:hanging="255"/>
      </w:pPr>
      <w:r>
        <w:rPr>
          <w:rFonts w:ascii="Times New Roman" w:hAnsi="Times New Roman" w:eastAsia="Times New Roman"/>
          <w:sz w:val="22"/>
        </w:rPr>
        <w:t>3. Создать резервные копии проектов Revit Server, баз rsg.db и rsg-proxy.db, proxy-gateways.json, appsettings.json, логов и текущих настроек портов.</w:t>
      </w:r>
    </w:p>
    <w:p>
      <w:pPr>
        <w:spacing w:after="60"/>
        <w:ind w:left="425" w:hanging="255"/>
      </w:pPr>
      <w:r>
        <w:rPr>
          <w:rFonts w:ascii="Times New Roman" w:hAnsi="Times New Roman" w:eastAsia="Times New Roman"/>
          <w:sz w:val="22"/>
        </w:rPr>
        <w:t>4. Проверить, что RSG Admin Panel/API, proxy listen port и target-порт Revit Server не конфликтуют между собой.</w:t>
      </w:r>
    </w:p>
    <w:p>
      <w:pPr>
        <w:spacing w:after="60"/>
        <w:ind w:left="425" w:hanging="255"/>
      </w:pPr>
      <w:r>
        <w:rPr>
          <w:rFonts w:ascii="Times New Roman" w:hAnsi="Times New Roman" w:eastAsia="Times New Roman"/>
          <w:sz w:val="22"/>
        </w:rPr>
        <w:t>5. Ограничить прямой пользовательский доступ к внутреннему target-порту Revit Server, если требуется принудительное применение proxy-контроля.</w:t>
      </w:r>
    </w:p>
    <w:p>
      <w:pPr>
        <w:spacing w:after="60"/>
        <w:ind w:left="425" w:hanging="255"/>
      </w:pPr>
      <w:r>
        <w:rPr>
          <w:rFonts w:ascii="Times New Roman" w:hAnsi="Times New Roman" w:eastAsia="Times New Roman"/>
          <w:sz w:val="22"/>
        </w:rPr>
        <w:t>6. Назначить администратора RSG, пароль встроенной учетной записи и ограничить доступ к панели администрирования.</w:t>
      </w:r>
    </w:p>
    <w:p>
      <w:pPr>
        <w:spacing w:after="60"/>
        <w:ind w:left="425" w:hanging="255"/>
      </w:pPr>
      <w:r>
        <w:rPr>
          <w:rFonts w:ascii="Times New Roman" w:hAnsi="Times New Roman" w:eastAsia="Times New Roman"/>
          <w:sz w:val="22"/>
        </w:rPr>
        <w:t>7. Настроить пользователей, роли, проекты, разделы, привязки папок, страновой контур и аудит.</w:t>
      </w:r>
    </w:p>
    <w:p>
      <w:pPr>
        <w:spacing w:after="60"/>
        <w:ind w:left="425" w:hanging="255"/>
      </w:pPr>
      <w:r>
        <w:rPr>
          <w:rFonts w:ascii="Times New Roman" w:hAnsi="Times New Roman" w:eastAsia="Times New Roman"/>
          <w:sz w:val="22"/>
        </w:rPr>
        <w:t>8. Проверить тестовыми пользователями сценарии запрета и разрешения доступа до передачи системы в промышленную эксплуатацию.</w:t>
      </w:r>
    </w:p>
    <w:p>
      <w:pPr>
        <w:spacing w:after="60"/>
        <w:ind w:left="425" w:hanging="255"/>
      </w:pPr>
      <w:r>
        <w:rPr>
          <w:rFonts w:ascii="Times New Roman" w:hAnsi="Times New Roman" w:eastAsia="Times New Roman"/>
          <w:sz w:val="22"/>
        </w:rPr>
        <w:t>9. Организовать регулярный экспорт/контроль журналов аудита и резервное копирование баз RSG.</w:t>
      </w:r>
    </w:p>
    <w:p>
      <w:pPr>
        <w:spacing w:after="60"/>
        <w:ind w:left="425" w:hanging="255"/>
      </w:pPr>
      <w:r>
        <w:rPr>
          <w:rFonts w:ascii="Times New Roman" w:hAnsi="Times New Roman" w:eastAsia="Times New Roman"/>
          <w:sz w:val="22"/>
        </w:rPr>
        <w:t>10. Документировать все локальные изменения инфраструктуры и хранить их вместе с договорной документацией.</w:t>
      </w:r>
    </w:p>
    <w:p>
      <w:pPr>
        <w:spacing w:after="120" w:line="259" w:lineRule="auto"/>
      </w:pPr>
      <w:r>
        <w:rPr>
          <w:rFonts w:ascii="Times New Roman" w:hAnsi="Times New Roman" w:eastAsia="Times New Roman"/>
          <w:b/>
          <w:i w:val="0"/>
          <w:sz w:val="22"/>
        </w:rPr>
        <w:t>Подписи сторон:</w:t>
      </w:r>
    </w:p>
    <w:p>
      <w:pPr>
        <w:spacing w:after="120" w:line="259" w:lineRule="auto"/>
      </w:pPr>
      <w:r>
        <w:rPr>
          <w:rFonts w:ascii="Times New Roman" w:hAnsi="Times New Roman" w:eastAsia="Times New Roman"/>
          <w:b w:val="0"/>
          <w:i w:val="0"/>
          <w:sz w:val="22"/>
        </w:rPr>
        <w:t>Лицензиар: __________________ / Р.А. Сидоренко /        Лицензиат: __________________ / _____________ /</w:t>
      </w:r>
    </w:p>
    <w:sectPr w:rsidR="00FC693F" w:rsidRPr="0006063C" w:rsidSect="00034616">
      <w:footerReference w:type="default" r:id="rId9"/>
      <w:pgSz w:w="11906" w:h="16838"/>
      <w:pgMar w:top="1020" w:right="850"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sz w:val="16"/>
      </w:rPr>
      <w:t xml:space="preserve">RSG — подписка | стр. </w:t>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Times New Roman" w:hAnsi="Times New Roman" w:eastAsia="Times New Roman"/>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Times New Roman" w:hAnsi="Times New Roman" w:eastAsia="Times New Roman"/>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